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547/2022 vom 19. August 2022</w:t>
      </w:r>
    </w:p>
    <w:p>
      <w:r>
        <w:t>Bundesgericht, 2022-08-19, DE</w:t>
      </w:r>
    </w:p>
    <w:p>
      <w:r>
        <w:rPr>
          <w:b/>
        </w:rPr>
        <w:t xml:space="preserve">Quelle: </w:t>
      </w:r>
      <w:r>
        <w:t>https://mcp.opencaselaw.ch/entscheid/bger_5A_547_2022</w:t>
      </w:r>
    </w:p>
    <w:p>
      <w:r>
        <w:t>FR: TF 5A 547/2022 du 19 août 2022</w:t>
      </w:r>
    </w:p>
    <w:p>
      <w:r>
        <w:t>IT: TF 5A 547/2022 del 19 agosto 2022</w:t>
      </w:r>
    </w:p>
    <w:p>
      <w:pPr>
        <w:pStyle w:val="Heading2"/>
      </w:pPr>
      <w:r>
        <w:t>Regeste</w:t>
      </w:r>
    </w:p>
    <w:p>
      <w:r>
        <w:t>Kostenauflage in einem Beschwerdeverfahren (Verwertung) | Schuldbetreibungs- und Konkursrecht</w:t>
      </w:r>
    </w:p>
    <w:p>
      <w:pPr>
        <w:pStyle w:val="Heading2"/>
      </w:pPr>
      <w:r>
        <w:t>Erwägungen</w:t>
      </w:r>
    </w:p>
    <w:p>
      <w:r>
        <w:rPr>
          <w:b/>
        </w:rPr>
        <w:t>E. 1</w:t>
      </w:r>
    </w:p>
    <w:p>
      <w:r>
        <w:t>Gegen eine auf Art. 20a Abs. 2 Ziff. 5 SchKG gestützte Kostenauflage steht die Beschwerde in Zivilsachen offen ( Art. 72 Abs. 2 lit. a BGG ) und das Bundesgericht kann die geltend gemachte Rechtsverletzung frei prüfen ( Art. 95 lit. a BGG ).</w:t>
      </w:r>
    </w:p>
    <w:p>
      <w:r>
        <w:rPr>
          <w:b/>
        </w:rPr>
        <w:t>E. 2</w:t>
      </w:r>
    </w:p>
    <w:p>
      <w:r>
        <w:t>Die Beschwerdeführerin macht geltend, ihre Beschwerde sei höchst anständig gewesen und das Festhalten an einem früheren Standpunkt könne nie mutwillig sein, solange die Sache nicht abschliessend erledigt sei, weshalb sie bislang denn auch jeden Entscheid bis ans Bundesgericht weitergezogen habe. Da sie Anlass zur Beschwerdeführung gehabt habe, gehe das Auferlegen einer Strafe nicht an.</w:t>
      </w:r>
    </w:p>
    <w:p>
      <w:r>
        <w:rPr>
          <w:b/>
        </w:rPr>
        <w:t>E. 3</w:t>
      </w:r>
    </w:p>
    <w:p>
      <w:r>
        <w:t>Zunächst ist festzuhalten, dass der Beschwerdeführerin keine Busse worden ist, sondern die Verfahrenskosten, nämlich Gerichtsgebühren und damit "Gebühren" im von Art. 20a Abs. 2 lit. 5 SchKG , was nicht den gleichen pönalen Impetus hat. Sodann übersieht die Beschwerdeführerin bei ihrer Behauptung, das Festhalten an früheren Standpunkten könne nie mutwillig sein, dass auf rechtskräftig beurteilte Punkte in späteren Verfahrensstadien nicht mehr zurückgekommen werden kann, sondern spezifisch die Rechtswidrigkeit des jeweils angefochtenen Aktes darzulegen ist (vgl. Art. 17 Abs. 1 SchKG ). Soweit stets wieder die gleichen und nicht mehr topischen Argumente vorgetragen werden, kann entgegen der sinngemässen Ansicht der Beschwerdeführerin sehr wohl Mutwilligkeit gegeben sein; diese kann insbesondere vorliegen, wenn die Beschwerdeführung ein reines Verschleppungsmanöver darstellt, indem eine Partei unbekümmert um ein konkretes Rechtsschutzinteresse alle Rechtsbehelfe unnütz ausschöpft, wenn sie wider besseres Wissen Tatsachen als wahr behauptet oder wenn sie an aussichtslosen Rechtsstandpunkten festhält (vgl. COMETTA/MÖCKLI, in: Basler Kommentar, 3. Aufl. 2021, N. 26 zu Art. 20a SchKG , mit Hinweisen auf die jeweilige bundesgerichtliche Rechtsprechung). Genau dies scheint aber vorliegend - gemäss den als solchen nicht beanstandeten - Erwägungen im angefochtenen Entscheid vorgelegen zu haben: Die Aufsichtsbehörde hat die Kostenauflage damit begründet, dass die Beschwerde mit bereits in früheren Entscheiden beurteilten Argumenten eingereicht worden sei, obwohl die Beschwerdeführerin im Urteil SCBES.2022.27 vom 5. Mai 2022 darauf hingewiesen worden sei, dass ihr bei nochmaliger mutwilliger Beschwerdeführung die Verfahrenskosten auferlegt würden. Zu dieser konkreten Begründung der Kostenauflage äussert sich die Beschwerdeführerin nicht, weshalb insofern ihre Beschwerde an das Bundesgericht nicht hinreichend begründet wird (vgl. Art. 42 Abs. 2 BGG ; BGE 140 III 115 E. 2; 142 III 364 E. 2.4).</w:t>
      </w:r>
    </w:p>
    <w:p>
      <w:r>
        <w:rPr>
          <w:b/>
        </w:rPr>
        <w:t>E. 4</w:t>
      </w:r>
    </w:p>
    <w:p>
      <w:r>
        <w:t>Nach dem Gesagten ist die Beschwerde abzuweisen, soweit auf sie einzutreten ist, und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