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5A_546/2025 vom 10. September 2025</w:t>
      </w:r>
    </w:p>
    <w:p>
      <w:r>
        <w:t>Bundesgericht, 2025-09-10, DE</w:t>
      </w:r>
    </w:p>
    <w:p>
      <w:r>
        <w:rPr>
          <w:b/>
        </w:rPr>
        <w:t xml:space="preserve">Quelle: </w:t>
      </w:r>
      <w:r>
        <w:t>https://mcp.opencaselaw.ch/entscheid/bger_5A_546_2025</w:t>
      </w:r>
    </w:p>
    <w:p>
      <w:r>
        <w:t>FR: TF 5A_546/2025 du 10 septembre 2025</w:t>
      </w:r>
    </w:p>
    <w:p>
      <w:r>
        <w:t>IT: TF 5A_546/2025 del 10 settembre 2025</w:t>
      </w:r>
    </w:p>
    <w:p>
      <w:pPr>
        <w:pStyle w:val="Heading2"/>
      </w:pPr>
      <w:r>
        <w:t>Erwägungen</w:t>
      </w:r>
    </w:p>
    <w:p>
      <w:r>
        <w:rPr>
          <w:b/>
        </w:rPr>
        <w:t>E. 1</w:t>
      </w:r>
    </w:p>
    <w:p>
      <w:r>
        <w:t>Angefochten ist ein kantonal letztinstanzlicher Zwischenentscheid betreffend vorsorgliche Massnahmen in einer Zivilsache ( Art. 72 Abs. 1 und Art. 75 Abs. 1 BGG ). Die Beschwerde in Zivilsachen ist bei Zwischenentscheiden nur unter den besonderen Voraussetzungen von Art. 93 Abs. 1 BGG mit Beschwerde beim Bundesgericht anfechtbar, wobei diese in der Beschwerde darzutun sind ( BGE 144 III 475 E. 1.2; 150 III 248 E. 1.2). Sodann kann bei vorsorglichen Massnahmen nur die Verletzung verfassungsmässiger Rechte gerügt werden ( Art. 98 BGG ), wofür das strenge Rügeprinzip im Sinn von Art. 106 Abs. 2 BGG gilt.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Die Beschwerde scheitert bereits an einer Darlegung der besonderen Anfechtungsvoraussetzungen von Art. 93 Abs. 1 BGG . Sodann legt der Beschwerdeführer aber auch nicht mit substanziierten Verfassungsrügen dar, welche verfassungsmässigen Rechte und inwiefern diese im Einzelnen verletzt sein sollen. Seine Ausführungen bleiben in der Sache appellatorisch und sind deshalb durchwegs ungenügend, auch wenn vereinzelt ein verfassungsmässiges Recht als verletzt angerufen wird: Im Zusammenhang mit einer vom Beschwerdeführer so bezeichneten "überraschenden Protokollzustellung" wird eine Verletzung des rechtlichen Gehörs ( Art. 29 Abs. 2 BV ) gerügt. Der Beschwerdeführer zeigt aber nicht auf, inwiefern er bereits im vorinstanzlichen Verfahren thematisiert und im Einzelnen begründet hätte, wie die Zustellung des Verhandlungsprotokolls sein rechtliches Gehör verletzt haben soll. Die Rüge ist damit neu und unzulässig ( BGE 143 III 290 E. 1.1; 150 III 353 E. 4.4.3). Gleiches gilt für das Vorbringen, die Hauptverhandlung könne nicht durchgeführt werden, wenn er keine neue unentgeltliche Rechtsvertretung habe, ansonsten Art. 6 Ziff. 1 EMRK und Art. 29 Abs. 1 BV (gemeint: Art. 29 Abs. 3 BV ) verletzt seien. Abgesehen davon wäre es am Beschwerdeführer und nicht am Gericht, sich um eine (neue) unentgeltliche Vertretung zu bemühen. Abstrakt bleibt schliesslich die Aussage, die vollständige Untätigkeit des Gerichtes verletze das Grundrecht des Kindes auf Schutz und persönliche Betreuung durch beide Elternteile gemäss Art. 11 Abs. 2 BV und Art. 8 EMRK . Mit dieser Aussage ist nicht dargelegt, inwiefern der Beschwerdeführer in seinen verfassungsmässigen Rechten verletzt sein soll, indem (vorab) die Hauptverhandlung angesetzt ist.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