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5A_546/2010 vom 28. Februar 2011</w:t>
      </w:r>
    </w:p>
    <w:p>
      <w:r>
        <w:t>Bundesgericht, 2011-02-28, DE</w:t>
      </w:r>
    </w:p>
    <w:p>
      <w:r>
        <w:rPr>
          <w:b/>
        </w:rPr>
        <w:t xml:space="preserve">Quelle: </w:t>
      </w:r>
      <w:r>
        <w:t>https://mcp.opencaselaw.ch/entscheid/bger_5A_546_2010</w:t>
      </w:r>
    </w:p>
    <w:p>
      <w:r>
        <w:t>FR: TF 5A_546/2010 du 28 février 2011</w:t>
      </w:r>
    </w:p>
    <w:p>
      <w:r>
        <w:t>IT: TF 5A_546/2010 del 28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Die amtlichen bundesgerichtlichen Kosten von Fr. 500.-- werden dem Beschwerdeführer auferlegt.</w:t>
      </w:r>
    </w:p>
    <w:p>
      <w:r>
        <w:rPr>
          <w:b/>
        </w:rPr>
        <w:t>E. 3</w:t>
      </w:r>
    </w:p>
    <w:p>
      <w:r>
        <w:t>Die ausseramtlichen bundesgerichtlichen Kosten werden wettgeschlagen.</w:t>
      </w:r>
    </w:p>
    <w:p>
      <w:r>
        <w:rPr>
          <w:b/>
        </w:rPr>
        <w:t>E. 4</w:t>
      </w:r>
    </w:p>
    <w:p>
      <w:r>
        <w:t>Diese Verfügung wird den Parteien und dem Kantonsgericht St. Gallen schriftlich mitgeteilt.</w:t>
      </w:r>
    </w:p>
    <w:p>
      <w:r>
        <w:t>Lausanne, 28. Februar 2011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