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5A_545/2019 vom 13. September 2019</w:t>
      </w:r>
    </w:p>
    <w:p>
      <w:r>
        <w:t>Bundesgericht, 2019-09-13, DE</w:t>
      </w:r>
    </w:p>
    <w:p>
      <w:r>
        <w:rPr>
          <w:b/>
        </w:rPr>
        <w:t xml:space="preserve">Quelle: </w:t>
      </w:r>
      <w:r>
        <w:t>https://mcp.opencaselaw.ch/entscheid/bger_5A_545_2019</w:t>
      </w:r>
    </w:p>
    <w:p>
      <w:r>
        <w:t>FR: TF 5A_545/2019 du 13 septembre 2019</w:t>
      </w:r>
    </w:p>
    <w:p>
      <w:r>
        <w:t>IT: TF 5A_545/2019 del 13 settembre 2019</w:t>
      </w:r>
    </w:p>
    <w:p>
      <w:pPr>
        <w:pStyle w:val="Heading2"/>
      </w:pPr>
      <w:r>
        <w:t>Erwägungen</w:t>
      </w:r>
    </w:p>
    <w:p>
      <w:r>
        <w:rPr>
          <w:b/>
        </w:rPr>
        <w:t>E. 1</w:t>
      </w:r>
    </w:p>
    <w:p>
      <w:r>
        <w:t>Die Eingabe in italienischer Sprache ist zulässig ( Art. 42 Abs. 1 BGG ), das vorliegende Urteil jedoch in der Sprache des angefochtenen Entscheides abzufassen ( Art. 54 Abs. 1 BGG ).</w:t>
      </w:r>
    </w:p>
    <w:p>
      <w:r>
        <w:rPr>
          <w:b/>
        </w:rPr>
        <w:t>E. 2</w:t>
      </w:r>
    </w:p>
    <w:p>
      <w:r>
        <w:t>Der Ehemann hat auf kantonaler Ebene weder Berufung noch Anschlussberufung erhoben und Gegenstand der angefochtenen Verfügung sind ausschliesslich die prozessualen Folgen der Verfahrensabschreibung zufolge Rückzuges der von der Ehefrau erklärten Berufung.</w:t>
      </w:r>
    </w:p>
    <w:p>
      <w:r>
        <w:rPr>
          <w:b/>
        </w:rPr>
        <w:t>E. 3</w:t>
      </w:r>
    </w:p>
    <w:p>
      <w:r>
        <w:t>Neue Begehren sind vor Bundesgericht unzulässig ( Art. 99 Abs. 2 BGG ). Unzulässig sind auch neue Vorbringen, weil es hier an der materiellen Ausschöpfung des Instanzenzuges fehlt (Art. 75 Abs. 1 und 99 Abs. 1 BGG; BGE 143 III 290 E. 1.1 S. 292 f.). Soweit mehr oder anderes verlangt wird, als von der Vorinstanz beurteilt wurde, ist darauf nicht einzutreten ( BGE 136 II 457 E. 4.2 S. 462 f.; 136 V 362 E. 3.4.2 S. 365 ; 142 I 155 E. 4.4.2 S. 156).</w:t>
      </w:r>
    </w:p>
    <w:p>
      <w:r>
        <w:rPr>
          <w:b/>
        </w:rPr>
        <w:t>E. 4</w:t>
      </w:r>
    </w:p>
    <w:p>
      <w:r>
        <w:t>Der Ehemann verlangt beschwerdeweise die Verpflichtung der Ehefrau zu einer Zahlung in der Sache selbst. Dies ist nach dem Gesagten unzulässig.</w:t>
      </w:r>
    </w:p>
    <w:p>
      <w:r>
        <w:t>Die Beschwerdebegründung ist im Übrigen wirr und insbesondere erfolgt keine Auseinandersetzung mit den Erwägungen des angefochtenen Entscheides bzw. wird nicht dargelegt, inwiefern dieser Recht verletzen soll (dazu Art. 42 Abs. 2 BGG ; BGE 140 III 115 E. 2 S. 116). Das sinngemässe Anliegen scheint zu sein, dass der Streitwert des Berufungsverfahrens nicht wie im angefochtenen Entscheid festgehalten Fr. 142'462.55 (Differenz zwischen den Berufungsbegehren und dem erstinstanzlich Zugesprochenen; recte: zuletzt aufrechterhaltene Rechtsbegehren, vgl. Art. 308 Abs. 2 ZPO ), sondern Fr. 25'639.45 betragen habe. Indes sind die Ausführungen nicht nachvollziehbar und insbesondere bleibt unerklärlich, weshalb das Rechtsbegehren auf Verurteilung der Ehefrau zur Zahlung von Fr. 25'639.-- lautet, was auch am Schluss der Beschwerdebegründung verlangt wird.</w:t>
      </w:r>
    </w:p>
    <w:p>
      <w:r>
        <w:rPr>
          <w:b/>
        </w:rPr>
        <w:t>E. 5</w:t>
      </w:r>
    </w:p>
    <w:p>
      <w:r>
        <w:t>Nach dem Gesagten erweist sich das gestellte Begehren als offensichtlich unzulässig und im Übrigen die Beschwerde auch als offensichtlich nicht hinreichend begründet, weshalb auf sie nicht eingetreten werden kann und im vereinfachten Verfahren nach Art. 108 Abs. 1 lit. a und b BGG zu entscheiden ist.</w:t>
      </w:r>
    </w:p>
    <w:p>
      <w:r>
        <w:rPr>
          <w:b/>
        </w:rPr>
        <w:t>E. 6</w:t>
      </w:r>
    </w:p>
    <w:p>
      <w:r>
        <w:t>Bei diesem Verfahrensausgang wird der Beschwerdeführer kosten- und entschädigungspflichtig ( Art. 66 Abs. 1 und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