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5A_543/2021 vom 26. August 2021</w:t>
      </w:r>
    </w:p>
    <w:p>
      <w:r>
        <w:t>Bundesgericht, 2021-08-26, IT</w:t>
      </w:r>
    </w:p>
    <w:p>
      <w:r>
        <w:rPr>
          <w:b/>
        </w:rPr>
        <w:t xml:space="preserve">Quelle: </w:t>
      </w:r>
      <w:r>
        <w:t>https://mcp.opencaselaw.ch/entscheid/bger_5A_543_2021</w:t>
      </w:r>
    </w:p>
    <w:p>
      <w:r>
        <w:t>FR: TF 5A_543/2021 du 26 août 2021</w:t>
      </w:r>
    </w:p>
    <w:p>
      <w:r>
        <w:t>IT: TF 5A_543/2021 del 26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22 dicembre 2020 il Pretore del Distretto di Leventina ha sciolto per divorzio il matrimonio contratto nel 2007 da A.________ e B.________, ha omologato parzialmente una convenzione sugli effetti accessori del divorzio raggiunta dai coniugi a un'udienza del 13 settembre 2019, ha sospeso i diritti di visita paterni ai tre figli e ha disciplinato altre conseguenze della vita separata.</w:t>
      </w:r>
    </w:p>
    <w:p>
      <w:r>
        <w:t>Mediante sentenza 21 giugno 2021 la I Camera civile del Tribunale d'appello del Cantone Ticino ha respinto, nella limitata misura in cui era ammissibile, l'impugnativa presentata in data 20 gennaio 2021 da A.________ contro la decisione pretorile. La Corte cantonale ha in particolare ritenuto che l'impugnativa era insufficientemente motivata per quanto concerneva le critiche sull'audizione dei minori e la contestazione della sospensione delle relazioni personali e dell'affidamento dei figli alla custodia della madre, e che essa non rientrava inoltre nella sua competenza per quanto riguardava la richiesta di risarcimento danni e di riparazione del torto morale.</w:t>
      </w:r>
    </w:p>
    <w:p>
      <w:r>
        <w:rPr>
          <w:b/>
        </w:rPr>
        <w:t>E. 2</w:t>
      </w:r>
    </w:p>
    <w:p>
      <w:r>
        <w:t>Avverso tale sentenza cantonale, con scritti datati 26 giugno e 1° luglio 2021 A.________ ha presentato un'" obiezione " din anzi al Tribunale d'appello del Cantone Ticino, il quale ha poi trasmesso tali scritti al Tribunale federale per competenza.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 i motivi ( art. 42 cpv. 1 LTF ).</w:t>
      </w:r>
    </w:p>
    <w:p>
      <w:r>
        <w:rPr>
          <w:b/>
        </w:rPr>
        <w:t>E. 3.1</w:t>
      </w:r>
    </w:p>
    <w:p>
      <w:r>
        <w:t>L'" obiezione " all'esame non contiene alcuna conclusione volta alla modifica della sentenza impugnata (v. sentenza 5A_683/2019 del 29 ottobre 2019 consid. 4 con rinvii). Il ricorrente si limita infatti a chiedere di " controllare " la sentenza cantonale.</w:t>
      </w:r>
    </w:p>
    <w:p>
      <w:r>
        <w:rPr>
          <w:b/>
        </w:rPr>
        <w:t>E. 3.2</w:t>
      </w:r>
    </w:p>
    <w:p>
      <w:r>
        <w:t>Nei motivi di un ricorso al Tribunale federale l'insorgente deve spiegare in modo conciso,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</w:t>
      </w:r>
    </w:p>
    <w:p>
      <w:r>
        <w:t>Ora, l'" obiezione " qui discussa manifestamente non soddisfa le esigenze degli art. 42 cpv. 2 e 106 cpv. 2 LTF. L'insorgente - che si limita a genericamente affermare di non essere d'accordo " su tutte le questioni ", decise senza che la famiglia sia sentita nel Canton Berna (dove egli risiede) e quindi " in modo molto unilaterale ", e ad allegare un verbale di udienza del 13 luglio 2018 - non si misura infatti minimamente con gli argomenti esposti nella sentenza impugnata e non spiega in che modo essa sarebbe contraria al diritto.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 art. 108 cpv. 1 lett. a-b LTF .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