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543/2011 vom 14. November 2011</w:t>
      </w:r>
    </w:p>
    <w:p>
      <w:r>
        <w:t>Bundesgericht, 2011-11-14, FR</w:t>
      </w:r>
    </w:p>
    <w:p>
      <w:r>
        <w:rPr>
          <w:b/>
        </w:rPr>
        <w:t xml:space="preserve">Quelle: </w:t>
      </w:r>
      <w:r>
        <w:t>https://mcp.opencaselaw.ch/entscheid/bger_5A_543_2011</w:t>
      </w:r>
    </w:p>
    <w:p>
      <w:r>
        <w:t>FR: TF 5A 543/2011 du 14 novembre 2011</w:t>
      </w:r>
    </w:p>
    <w:p>
      <w:r>
        <w:t>IT: TF 5A 543/2011 del 14 novembre 2011</w:t>
      </w:r>
    </w:p>
    <w:p>
      <w:pPr>
        <w:pStyle w:val="Heading2"/>
      </w:pPr>
      <w:r>
        <w:t>Regeste</w:t>
      </w:r>
    </w:p>
    <w:p>
      <w:r>
        <w:t>inventaire de faillite | Droit des poursuites et faillites</w:t>
      </w:r>
    </w:p>
    <w:p>
      <w:pPr>
        <w:pStyle w:val="Heading2"/>
      </w:pPr>
      <w:r>
        <w:t>Erwägungen</w:t>
      </w:r>
    </w:p>
    <w:p>
      <w:r>
        <w:rPr>
          <w:b/>
        </w:rPr>
        <w:t>E. 1.1</w:t>
      </w:r>
    </w:p>
    <w:p>
      <w:r>
        <w:t>Interjeté dans le délai (art. 46 al. 1 let. b et 100 al. 2 let. a LTF)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1.2</w:t>
      </w:r>
    </w:p>
    <w:p>
      <w:r>
        <w:t>Le recours en matière civile peut être interjeté pour violation du droit, tel qu'il est délimité par les art. 95 et 96 LTF . Le Tribunal fédéral applique ce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134 III 102 consid. 1.1). Par ailleurs, il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397 consid. 1.5; 135 II 145 consid. 8.1) - ou en violation du droit au sens de l' art. 95 LTF ( art. 105 al. 2 LTF ), et pour autant que la correction du vice soit susceptible d'influer sur le sort de la cause ( art. 97 al. 1 LTF ).</w:t>
      </w:r>
    </w:p>
    <w:p>
      <w:r>
        <w:rPr>
          <w:b/>
        </w:rPr>
        <w:t>E. 1.3</w:t>
      </w:r>
    </w:p>
    <w:p>
      <w:r>
        <w:t>Aux termes de l' art. 107 al. 2 LTF , le Tribunal fédéral peut, s'il admet le recours, statuer lui-même sur le fond ou renvoyer l'affaire à l'autorité précédente pour qu'elle prenne une nouvelle décision. Dans le cas particulier, où cette autorité n'est pas entrée en matière sur le fond, seul est envisageable, en cas d'admission, le renvoi pour nouvelle décision, à défaut de quoi le Tribunal fédéral statuerait sur le fond en première et unique instance. La requête en complètement des faits présentée par la recourante l'étant dans cette seule éventualité, qui n'entre pas en ligne de compte, et la correction du prétendu vice n'étant ainsi pas susceptible d'influer sur le sort de la cause, il n'y a pas lieu d'y donner suite.</w:t>
      </w:r>
    </w:p>
    <w:p>
      <w:r>
        <w:rPr>
          <w:b/>
        </w:rPr>
        <w:t>E. 2.1</w:t>
      </w:r>
    </w:p>
    <w:p>
      <w:r>
        <w:t>En vertu de l' art. 170 al. 1 LDIP , la reconnaissance de la décision de faillite rendue à l'étranger a, en principe, les effets de la faillite tels que les prévoit le droit suisse. Ainsi, dès que l'office des faillites a reçu communication de la décision de reconnaissance, il publie cette décision ( art. 169 al. 1 LDIP ) et l'ouverture de la faillite ancillaire suisse dans les formes prévues ( art. 232 et 231 al. 3 LP ; cf. PIERRE-ROBERT GILLIÉRON, Les dispositions de la nouvelle loi fédérale de droit international privé sur la faillite internationale, in Publication Cedidac 18, Lausanne 1991, p. 95). Il doit tout aussitôt procéder à l'inventaire et prendre les mesures conservatoires nécessaires ( art. 221 ss LP et 25 ss OAOF). A cet effet, il lui incombe d'interroger le failli, personne physique ou, s'il s'agit d'une société, les associés ou organes de celle-ci (GILLIÉRON, Commentaire de la loi fédérale sur la poursuite pour dettes et la faillite, n. 11 et 17 ad art. 221 LP ), de même que tous les tiers qui détiennent des biens du failli ou contre qui le failli a des créances (LE MÊME, op. cit., n. 18 ad art. 221 LP ). L'office doit porter à l'inventaire et estimer tous les droits patrimoniaux dont le failli était ou pouvait être titulaire au moment de la déclaration de faillite, en Suisse seulement s'agissant d'une faillite ancillaire (GILLIÉRON, Commentaire, n. 37 ad art. 221 LP ). Il doit en faire de même avec les droits patrimoniaux dont il résulte des enquêtes qu'un tiers est titulaire ou qui sont réclamés par un tiers, en mentionnant cette revendication ( art. 225 LP et 34 OAOF). Une fois l'inventaire dressé, l'office le soumet au failli et invite celui-ci à déclarer s'il le reconnaît exact et complet, la réponse du failli devant être transcrite dans l'inventaire et signée par lui ( art. 228 LP et 29 al. 3 et 4 OAOF). Cette déclaration qui, en cas de faillite d'une société à responsabilité limitée par exemple, est faite par les associés et les tiers gérants ( art. 30 al. 1 OAOF ; GILLIÉRON, Commentaire, n. 17 ad art. 221 LP , n. 5 et 7 ad art. 228 LP ), fait courir le délai de plainte à l'autorité de surveillance contre toutes les mesures de l'office, connues à ce moment-là seulement par le failli, notamment quant à l'estimation et la façon dont il y a été procédé (FRANÇOIS VOUILLOZ, in Commentaire romand de la LP, n. 6 ad art. 228 LP ; URS LUSTENBERGER, in Basler Kommentar Bundesgesetz über Schuldbetreibung und Konkurs II, 2e éd., n. 6 ad art. 228 LP ; GILLIÉRON, Commentaire, n. 9 ad art. 228 LP ). Si une telle déclaration ne peut être obtenue, l'inventaire doit en indiquer les raisons ( art. 30 al. 2 OAOF ). Ainsi, lorsque le failli ou une personne obligée de renseigner et, comme lui, d'attester l'exactitude et la complétude de l'inventaire s'y refuse, l'office constate dans l'inventaire sa démarche et son résultat, car il n'a aucun moyen de coercition pour obtenir la déclaration que la loi prévoit (GILLIÉRON, Commentaire, n. 7, dernière phrase, ad art. 228 LP ). Alors que dans la liquidation ordinaire de la faillite, l'inventaire est en principe présenté aux créanciers lors de la première assemblée des créanciers ( art. 237 al. 1 LP ; GILLIÉRON, Commentaire, n. 6 s. ad art. 237 LP ), dans la liquidation sommaire de la faillite, procédure appliquée en l'espèce, l'inventaire est déposé en même temps que l'état de collocation ( art. 231 al. 3 ch. 3 LP , 32 al. 2 OAOF; GILLIÉRON, Commentaire, n. 38 in fine ad art. 221 LP , n. 21 ad art. 231 LP ; VOUILLOZ, op. cit., n. 25 ad art. 231 LP ; LUSTENBERGER, op. cit., n. 25 ad art. 231 LP ). Pour les créanciers, le délai de plainte contre les opérations d'inventaire commence donc à courir dès le jour du dépôt de l'inventaire, dépôt dont la communication a lieu en même temps que celle, opérée par publication, de l'état de collocation ( art. 32 al. 2 OAOF ; art. 249 al. 2 LP et 67 al. 1 OAOF). Le failli doit bénéficier du même délai, non seulement pour contester, le cas échéant, la décision relative aux objets de stricte nécessité qui ne lui aurait pas été communiquée au moment de la reconnaissance de l'inventaire ou par communication écrite spéciale ( art. 31 al. 2 OAOF ), mais aussi pour se plaindre d'irrégularités commises dans l'établissement de l'inventaire qu'il n'aurait pu, sans sa faute, invoquer en temps utile. La décision de l'office qui n'est pas attaquée dans ledit délai ne peut plus l'être dans la suite (GILLIÉRON, Commentaire, n. 38 in fine ad art. 221 LP ). La violation des règles sur l'établissement de l'inventaire, mesure interne de l'administration de la faillite ne produisant aucun effet à l'égard des tiers et ne fixant pas encore définitivement l'appartenance des biens à la masse (cf. arrêts 9C_383/2007 du 14 janvier 2008 consid. 3.2 et H 74/2002 du 16 juillet 2002 consid. 3.3, et les références citées), n'est pas sanctionnée de nullité absolue constatable en tout temps en vertu de l' art. 22 al. 1 LP (cf. casuistique chez FRANCO LORANDI, Betreibungsrechtliche Beschwerde und Nichtigkeit, n. 22 ss et 71 ss ad art. 22 LP ).</w:t>
      </w:r>
    </w:p>
    <w:p>
      <w:r>
        <w:rPr>
          <w:b/>
        </w:rPr>
        <w:t>E. 2.2</w:t>
      </w:r>
    </w:p>
    <w:p>
      <w:r>
        <w:t>L'inventaire litigieux, établi sur la base des explications du syndic de la masse en faillite polonaise du 21 janvier 2011 et de celles de l'administrateur des sociétés suisses du 4 avril 2011, ne contient ni déclaration de reconnaissance par le failli, ni constat quant à la démarche de l'office et à son résultat. En cela, il ne répond certes pas aux exigences légales susmentionnées. Son dépôt a toutefois été annoncé par publication dans la FOSC du 27 avril 2011, l'insertion dans cette feuille officielle faisant règle pour la supputation des délais et pour les conséquences de la publication ( art. 35 LP ). Si la recourante estimait que l'office n'avait pas établi l'inventaire de façon correcte en omettant notamment de remplir la rubrique "Déclarations du failli" et en biffant à tort, suite à l'intervention dudit administrateur, des prétentions dont elle avait obtenu l'inscription à l'inventaire, il lui appartenait, comme le lui indiquait la publication, de contester celui-ci dans les dix jours. En ne déposant plainte que le 27 mai 2011, soit bien après l'échéance de ce délai, suite au courrier de l'office du 12 mai 2011 qui constituait d'ailleurs une simple décision de confirmation non susceptible de plainte (cf. arrêts 7B.53/2006 du 8 août 2006 consid. 2.1 in fine et 7B.187/2001 du 3 août 2001), la recourante a agi tardivement et c'est donc à bon droit que l'autorité cantonale de surveillance a déclaré sa plainte irrecevable.</w:t>
      </w:r>
    </w:p>
    <w:p>
      <w:r>
        <w:rPr>
          <w:b/>
        </w:rPr>
        <w:t>E. 3.1</w:t>
      </w:r>
    </w:p>
    <w:p>
      <w:r>
        <w:t>En instance cantonale, la recourante a invoqué un déni de justice, reprochant à l'office d'avoir dressé l'inventaire "sans (lui) avoir donné l'occasion de se déterminer (...) et sans avoir recueilli des éléments permettant de mettre en doute (ses) prétentions". Il ressort du dossier que la recourante s'est tout de même déterminée, le 21 mars 2011, sur la demande de production de B.________ et les remarques de celle-ci relatives aux prétentions inventoriées à sa propre demande. En outre, dans sa plainte (p. 9 let. d), elle disait avoir collaboré étroitement avec l'office entre le mois de janvier 2011 et le 12 mai 2011 afin d'établir, notamment, l'inventaire. Quoi qu'il en soit, l'autorité cantonale de surveillance a refusé de voir un déni de justice formel, invocable en tout temps, au sens de l' art. 17 al. 3 LP , car la jurisprudence constante relative à cette disposition considère qu'il ne saurait être question d'un tel déni de justice lorsqu'une mesure ou une décision susceptible d'être attaquée dans les 10 jours a été prise, fût-elle illégale ou irrégulière (cf. notamment arrêts 7B.179/2003 du 22 août 2003 consid. 3.1 et 7B.253/2003 du 23 décembre 2003 consid. 3.2); or, tel était le cas en l'espèce puisque l'office avait dressé l'inventaire et annoncé son dépôt par publication officielle du 27 avril 2011. La recourante n'indique pas en quoi l'autorité cantonale de surveillance aurait violé le droit fédéral en statuant ainsi. Autant que dirigé contre l'office, le grief est irrecevable ( art. 75 al. 1 LTF ).</w:t>
      </w:r>
    </w:p>
    <w:p>
      <w:r>
        <w:rPr>
          <w:b/>
        </w:rPr>
        <w:t>E. 3.2</w:t>
      </w:r>
    </w:p>
    <w:p>
      <w:r>
        <w:t>Il en va de même des griefs de violation du droit d'être entendu et d'arbitraire, dirigés exclusivement contre l'office. Ils concernent d'ailleurs le fond, qui ne peut être examiné dès lors que l'autorité précédente n'est pas entrée en matière.</w:t>
      </w:r>
    </w:p>
    <w:p>
      <w:r>
        <w:rPr>
          <w:b/>
        </w:rPr>
        <w:t>E. 4</w:t>
      </w:r>
    </w:p>
    <w:p>
      <w:r>
        <w:t>Il résulte de ce qui précède que le recours doit être rejeté dans la mesure de sa recevabilité,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