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543/2009 vom 13. Oktober 2009</w:t>
      </w:r>
    </w:p>
    <w:p>
      <w:r>
        <w:t>Bundesgericht, 2009-10-13, DE</w:t>
      </w:r>
    </w:p>
    <w:p>
      <w:r>
        <w:rPr>
          <w:b/>
        </w:rPr>
        <w:t xml:space="preserve">Quelle: </w:t>
      </w:r>
      <w:r>
        <w:t>https://mcp.opencaselaw.ch/entscheid/bger_5A_543_2009</w:t>
      </w:r>
    </w:p>
    <w:p>
      <w:r>
        <w:t>FR: TF 5A 543/2009 du 13 octobre 2009</w:t>
      </w:r>
    </w:p>
    <w:p>
      <w:r>
        <w:t>IT: TF 5A 543/2009 del 13 ottobre 2009</w:t>
      </w:r>
    </w:p>
    <w:p>
      <w:pPr>
        <w:pStyle w:val="Heading2"/>
      </w:pPr>
      <w:r>
        <w:t>Regeste</w:t>
      </w:r>
    </w:p>
    <w:p>
      <w:r>
        <w:t>Rechtsverweigerung/Rechtsverzögerung | Schuldbetreibungs- und Konkursrecht</w:t>
      </w:r>
    </w:p>
    <w:p>
      <w:pPr>
        <w:pStyle w:val="Heading2"/>
      </w:pPr>
      <w:r>
        <w:t>Erwägungen</w:t>
      </w:r>
    </w:p>
    <w:p>
      <w:r>
        <w:rPr>
          <w:b/>
        </w:rPr>
        <w:t>E. 1</w:t>
      </w:r>
    </w:p>
    <w:p>
      <w:r>
        <w:t>Die Beschwerdeführerin rügt das unrechtmässige Verweigern oder Verzögern eines kantonal letztinstanzlichen Entscheids in Schuldbetreibungs- und Konkurssachen ( Art. 72 Abs. 2 lit. a, Art. 75 Abs. 1 und Art. 94 BGG ). Da dieser von einer kantonalen Aufsichtsbehörde ausgeht, ist die Beschwerde in Zivilsachen unabhängig vom Streitwert ( Art. 74 Abs. 2 lit. c BGG ) zulässig.</w:t>
      </w:r>
    </w:p>
    <w:p>
      <w:r>
        <w:rPr>
          <w:b/>
        </w:rPr>
        <w:t>E. 2</w:t>
      </w:r>
    </w:p>
    <w:p>
      <w:r>
        <w:t>Vorliegend geht es ausschliesslich um die Frage, ob der Beschwerdeführerin der Entscheid der Aufsichtsbehörde vom 6. April 2009 rechtsgenüglich zugestellt worden ist. Die Beschwerdeführerin rügt, der Entscheid der Aufsichtsbehörde sei ihr nicht schriftlich eröffnet worden, obwohl sie am 17. Juli 2009 ausdrücklich um dessen Übersendung gebeten habe. Damit sei es ihr auch nicht möglich, ihn vor Bundesgericht anzufechten. Sie macht eine Verletzung des Verbots der Rechtsverweigerung bzw. Rechtsverzögerung sowie des Willkürverbots geltend. Sodann rügt sie einen Verstoss gegen Art. 6, Art. 13 und Art. 14 EMRK . Schliesslich beruft sie sich auf das Gleichbehandlungsgebot, da ihr die Eröffnung des Entscheids vorenthalten werde, während er andern Beteiligten längst eröffnet worden sei.</w:t>
      </w:r>
    </w:p>
    <w:p>
      <w:r>
        <w:rPr>
          <w:b/>
        </w:rPr>
        <w:t>E. 3.1</w:t>
      </w:r>
    </w:p>
    <w:p>
      <w:r>
        <w:t>In ihrer Beschwerde vor Bundesgericht bezeichnet die Beschwerdeführerin R.________ und Y.________ als ihre Vertreter und Zustellungsadressaten. Sie führt an, es sei der Aufsichtsbehörde seit längerer Zeit bekannt, dass diese brieflich unter der Adresse ..., D-Limburgerhof, zu erreichen seien.</w:t>
      </w:r>
    </w:p>
    <w:p>
      <w:r>
        <w:rPr>
          <w:b/>
        </w:rPr>
        <w:t>E. 3.2</w:t>
      </w:r>
    </w:p>
    <w:p>
      <w:r>
        <w:t>Wie die Beschwerdeführerin in ihrer Replik ausführt, hat das Amtsgericht Ludwigshafen R.________ ein vom 8. Mai 2009 datiertes Schreiben zugestellt, in welchem ihm mitgeteilt worden ist, es solle auf Ersuchen des Zivilgerichts Basel-Stadt ein Schriftstück (persönlich) an ihn übergeben werden. Aus dem Handelsregister ergibt sich, dass R.________ zwar wie bisher Verwaltungsratsmitglied der Beschwerdeführerin, aber seit April 2008 für diese nicht mehr zeichnungsberechtigt ist (Tagesregistereintrag vom xxxx 2008, Publikation im Schweizerischen Handelsamtsblatt vom xxxx 2008). Die Beschwerdeführerin führt in ihrer Replik aus, dass dieser das Amtsgericht nach Eingang des Schreibens vom 8. Mai 2009 über diesen Umstand in Kenntnis gesetzt sowie um Mitteilung gebeten habe, ob die Angelegenheit ihn persönlich betreffe. Auch auf dem Zustellungszeugnis des Amtsgerichts Ludwigshafen (s. oben, Sachverhalt Bst. C) wird als Begründung für die Nichtzustellung des Urteils der Aufsichtsbehörde angeführt, R.________ sei gemäss Auszug aus dem Handelsregister nicht mehr zur Empfangnahme von Schriftstücken für die Beschwerdeführerin berechtigt. Indes verlangt die Beschwerdeführerin in ihrer Beschwerde vor Bundesgericht ausdrücklich, die Aufsichtsbehörde solle ihr Urteil an die Adresse von R.________, ..., D-Limburgerhof, zustellen (s. oben, E. 3.1), was diese denn auch veranlasst hat. Insoweit entspricht die Zustellung des Urteils durch die Aufsichtsbehörde dem von der Beschwerdeführerin geforderten Vorgehen, sodass sie sich über das Zustellungsvorgehen der Vorinstanz nicht beklagen kann. Daher ist auch nicht ersichtlich, weshalb die Beschwerdeführerin in ihrer Replik die Befugnis von R.________ zur Entgegennahme des Urteils der Aufsichtsbehörde in Frage stellt. Diesbezüglich ist ihr ausserdem entgegenzuhalten, dass ihre Beschwerde vor der Aufsichtsbehörde vom 7. März 2009 (s. oben, Sachverhalt Bst. C) von R.________ als ihrem Vertreter unterzeichnet und zusammen mit einer entsprechenden Vollmacht vom 3. März 2009 eingereicht worden ist. Erst mit Schreiben vom 19. Mai 2009 - somit nach der rechtshilfeweisen Zustellung des Urteils vom 6. April 2009 an das Amtsgericht Ludwigshafen am 24. April 2009 - teilte dieser der Aufsichtsbehörde mit, er sei nicht mehr zur Vertretung der Beschwerdeführerin befugt.</w:t>
      </w:r>
    </w:p>
    <w:p>
      <w:r>
        <w:rPr>
          <w:b/>
        </w:rPr>
        <w:t>E. 4</w:t>
      </w:r>
    </w:p>
    <w:p>
      <w:r>
        <w:t>Die Rüge einer Rechtsverweigerung wie auch die Rügen der Verletzungen anderer verfassungsmässiger Rechte, soweit diese überhaupt genügend substanziiert sind, erweisen sich somit als unbegründet. Die Beschwerde ist somit abzuweisen, soweit darauf eingetreten werden kann.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