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542/2011 vom 24. November 2011</w:t>
      </w:r>
    </w:p>
    <w:p>
      <w:r>
        <w:t>Bundesgericht, 2011-11-24, DE</w:t>
      </w:r>
    </w:p>
    <w:p>
      <w:r>
        <w:rPr>
          <w:b/>
        </w:rPr>
        <w:t xml:space="preserve">Quelle: </w:t>
      </w:r>
      <w:r>
        <w:t>https://mcp.opencaselaw.ch/entscheid/bger_5A_542_2011</w:t>
      </w:r>
    </w:p>
    <w:p>
      <w:r>
        <w:t>FR: TF 5A 542/2011 du 24 novembre 2011</w:t>
      </w:r>
    </w:p>
    <w:p>
      <w:r>
        <w:t>IT: TF 5A 542/2011 del 24 novembre 2011</w:t>
      </w:r>
    </w:p>
    <w:p>
      <w:pPr>
        <w:pStyle w:val="Heading2"/>
      </w:pPr>
      <w:r>
        <w:t>Regeste</w:t>
      </w:r>
    </w:p>
    <w:p>
      <w:r>
        <w:t>Grundpfandverwertung (Festlegung des Zugehörs, rechtliches Gehör) | Schuldbetreibungs- und Konkursrecht</w:t>
      </w:r>
    </w:p>
    <w:p>
      <w:pPr>
        <w:pStyle w:val="Heading2"/>
      </w:pPr>
      <w:r>
        <w:t>Erwägungen</w:t>
      </w:r>
    </w:p>
    <w:p>
      <w:r>
        <w:rPr>
          <w:b/>
        </w:rPr>
        <w:t>E. 1</w:t>
      </w:r>
    </w:p>
    <w:p>
      <w:r>
        <w:t>Gegen den Entscheid der oberen Aufsichtsbehörde in Schuldbetreibungs- und Konkurssachen ( Art. 75 BGG ) ist die Beschwerde in Zivilsachen unabhängig vom Streitwert zulässig ( Art. 72 Abs. 2 lit. a und Art. 74 Abs. 2 lit. c BGG ). Sie ist binnen Frist erfolgt (Art. 100 Abs. 2 lit. a i.V.m. Art. 46 Abs. 1 lit. b BGG ). Die nicht näher bezeichnete Eingabe der Beschwerdeführerin ist als Beschwerde in Zivilsachen entgegenzunehmen. Die Beschwerde ist zu begründen ( Art. 42 Abs. 1 BGG ). In der Begründung ist in gedrängter Form darzulegen, inwiefern der angefochtene Akt Recht verletzt ( Art. 42 Abs. 2 BGG ). Strengere Anforderungen gelten bei Verfassungsrügen, welche in der Beschwerde präzise vorgebracht und begründet werden müssen ( Art. 106 Abs. 2 BGG ; BGE 135 III 397 E. 1.4 S. 400 f.; 133 II 249 E. 1.4.2 S. 254 mit Hinweisen).</w:t>
      </w:r>
    </w:p>
    <w:p>
      <w:r>
        <w:rPr>
          <w:b/>
        </w:rPr>
        <w:t>E. 2</w:t>
      </w:r>
    </w:p>
    <w:p>
      <w:r>
        <w:t>Die Beschwerdeführerin erneuert ihre Begehren auf Streichung des Inventars aus der Zugehörliste und auf Abweisung der Beschwerde der Beschwerdegegner gegen die Verfügung des Betreibungsamts vom 19. Januar 2011. Sie geht allerdings mit keinem Wort auf die Erwägungen der Vorinstanz zur Nichtigkeit der betreibungsamtlichen Verfügung und zum einzuschlagenden Rechtsweg zur Bestimmung der Zugehörseigenschaft (Widerspruchsverfahren) ein. Mangels Begründung kann auf diese Begehren nicht eingetreten werden.</w:t>
      </w:r>
    </w:p>
    <w:p>
      <w:r>
        <w:rPr>
          <w:b/>
        </w:rPr>
        <w:t>E. 3.1</w:t>
      </w:r>
    </w:p>
    <w:p>
      <w:r>
        <w:t>Effektiv zum Prozessthema erhebt die Beschwerdeführerin einzig die angebliche Verletzung ihres Rechts auf Akteneinsicht. Sie macht geltend, ihr seien die vom Vertreter der Beschwerdegegner eingereichten Akten (act. 1, 2 und 3) nicht zugestellt worden. Ebenso wenig habe sie Kopien der Akten 5 und 6 erhalten. Sie habe dies vor allen Vorinstanzen bereits geltend gemacht. Sie sieht darin eine Verletzung von Art. 6 EMRK .</w:t>
      </w:r>
    </w:p>
    <w:p>
      <w:r>
        <w:rPr>
          <w:b/>
        </w:rPr>
        <w:t>E. 3.2</w:t>
      </w:r>
    </w:p>
    <w:p>
      <w:r>
        <w:t>Die Vorinstanz hat diesbezüglich erwogen, an einer Rückweisung zur Aushändigung der Akten bestehe kein Interesse, da die betreibungsamtliche Verfügung nichtig sei. Zudem habe die Beschwerdeführerin gestützt auf Art. 8a Abs. 1 SchKG jederzeit das Recht, die Akten einzusehen.</w:t>
      </w:r>
    </w:p>
    <w:p>
      <w:r>
        <w:rPr>
          <w:b/>
        </w:rPr>
        <w:t>E. 3.3</w:t>
      </w:r>
    </w:p>
    <w:p>
      <w:r>
        <w:t>Das Recht auf Akteneinsicht bildet einen Teilgehalt des rechtlichen Gehörs ( Art. 29 Abs. 2 BV ; BGE 132 II 485 E. 3.2 S. 494 mit Hinweis). Das Recht, angehört zu werden, ist formeller Natur. Seine Verletzung führt ungeachtet der materiellen Begründetheit eines Rechtsmittels zur Gutheissung der Beschwerde und zur Aufhebung des angefochtenen Entscheids ( BGE 137 I 195 E. 2.2 S. 197 mit Hinweis). Es besteht deshalb ein Interesse der Beschwerdeführerin an der Beurteilung dieser Frage, unabhängig davon, ob die Verfügung des Betreibungsamts tatsächlich nichtig ist oder nicht, und unabhängig davon, ob das Bundesgericht die Frage der Nichtigkeit vorliegend prüfen kann oder nicht (oben E. 2). Festzuhalten ist, dass die Beschwerde der Beschwerdegegner gegen die Verfügung des Betreibungsamts der Beschwerdeführerin durch das Bezirksgericht zugestellt worden ist (act. 7 der bezirksgerichtlichen Akten; zugestanden durch die Beschwerdeantwort [act. 13]). Das Gesuch um Zustellung bezieht sich auf einige der in der Beschwerde erwähnten Beschwerdebeilagen, nämlich auf die Vollmachten (Beschwerdebeilagen 1 bis 3) und offenbar auf Zahlungsbefehl und Verwertungsbegehren (Beschwerdebeilagen 5 und 6). Die Beschwerdeführerin behauptet nicht, dass die fraglichen Akten nicht zur Einsichtnahme am Sitz des Gerichts aufgelegen hätten. Sie macht stattdessen geltend, angesichts der kurzen Fristen und der räumlichen Distanz zwischen C.________ (Kanton St. Gallen) (Sitz der Beschwerdeführerin) und Hinwil bzw. Zürich sei die Einsichtnahme unzumutbar; es bestünden noch andere Verpflichtungen des Tagesgeschäfts. Wenn sie damit die Unmöglichkeit tatsächlicher Einsichtnahme behaupten will, genügt sie den Begründungsanforderungen nicht. Sie vermag damit nicht darzutun, dass sie bzw. ihr Verwaltungsratspräsident nicht in der Lage gewesen wäre, Einsicht zu nehmen, oder zu diesem Zweck einen Vertreter zu bestellen. Sie rügt auch nicht, dass die Vorinstanz es unterlassen habe, diesbezügliche Tatsachenfeststellungen zu treffen. Gemäss der Rechtsprechung genügt es grundsätzlich zur Wahrung des verfassungsmässigen Rechts auf Akteneinsicht, wenn die Akten am Sitz der Behörde eingesehen und Notizen sowie Photokopien gemacht werden können, soweit daraus der Behörde keine übermässige Belastung erwächst ( BGE 131 V 35 E. 4.2 S. 41 mit Hinweisen). Die Beschwerdeführerin begründet nicht, wieso der von ihr angerufene Art. 6 EMRK über diese Garantie hinausgehen soll. Mit einem fehler- und lückenhaften Zitat scheint die Beschwerdeführerin zwar Art. 6 Abs. 3 lit. a EMRK anzurufen und daraus abzuleiten, das Gericht müsse ihr die fraglichen Unterlagen zustellen und die Möglichkeit zur Einsichtnahme am Sitz des Gerichts reiche nicht. Diese Norm bezieht sich allerdings auf Strafverfahren und nicht auf Aufsichtsverfahren in Betreibungssachen und ist deshalb vorliegend von vornherein nicht anwendbar. Soweit auf die Beschwerde überhaupt eingetreten werden kann, ist sie somit unbegründet.</w:t>
      </w:r>
    </w:p>
    <w:p>
      <w:r>
        <w:rPr>
          <w:b/>
        </w:rPr>
        <w:t>E. 4</w:t>
      </w:r>
    </w:p>
    <w:p>
      <w:r>
        <w:t>Bei diesem Ausgang des Verfahrens wird die Beschwerdeführerin kostenpflichtig ( Art. 66 Abs. 1 BGG ). Die Beschwerdegegner sind mit ihrer Stellungnahme zum Gesuch um aufschiebende Wirkung unterlegen, weshalb hiefür keine Parteientschädigung zu 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