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5A_540/2015 vom 26. Mai 2016</w:t>
      </w:r>
    </w:p>
    <w:p>
      <w:r>
        <w:t>Bundesgericht, 2016-05-26, DE</w:t>
      </w:r>
    </w:p>
    <w:p>
      <w:r>
        <w:rPr>
          <w:b/>
        </w:rPr>
        <w:t xml:space="preserve">Quelle: </w:t>
      </w:r>
      <w:r>
        <w:t>https://mcp.opencaselaw.ch/entscheid/bger_5A_540_2015</w:t>
      </w:r>
    </w:p>
    <w:p>
      <w:r>
        <w:t>FR: TF 5A_540/2015 du 26 mai 2016</w:t>
      </w:r>
    </w:p>
    <w:p>
      <w:r>
        <w:t>IT: TF 5A_540/2015 del 26 maggio 2016</w:t>
      </w:r>
    </w:p>
    <w:p>
      <w:pPr>
        <w:pStyle w:val="Heading2"/>
      </w:pPr>
      <w:r>
        <w:t>Erwägungen</w:t>
      </w:r>
    </w:p>
    <w:p>
      <w:r>
        <w:rPr>
          <w:b/>
        </w:rPr>
        <w:t>E. 1.1</w:t>
      </w:r>
    </w:p>
    <w:p>
      <w:r>
        <w:t>Hinsichtlich des Entzugs des Aufenthaltsbestimmungsrechts des Beschwerdeführers und der Fremdplatzierung von C.________ liegt ein kantonal letztinstanzlicher Endentscheid ( Art. 75 Abs. 1 und 90 BGG ) über eine Kindesschutzmassnahme vor. Dabei handelt es sich um eine öffentlich-rechtliche Angelegenheit in unmittelbarem Zusammenhang mit Zivilrecht (Art. 72 Abs. 2 Bst. b Ziff. 6 BGG) ohne Vermögenswert. Der Beschwerdeführer ist als sorgeberechtigter Vater zur Beschwerde berechtigt ( Art. 76 Abs. 1 BGG ). Die fristgerecht ( Art. 100 Abs. 1 BGG ) erhobene Beschwerde in Zivilsachen ist insofern zulässig.</w:t>
      </w:r>
    </w:p>
    <w:p>
      <w:r>
        <w:rPr>
          <w:b/>
        </w:rPr>
        <w:t>E. 1.2</w:t>
      </w:r>
    </w:p>
    <w:p>
      <w:r>
        <w:t>Anfechtungsobjekt der Beschwerde in Zivilsachen bildet der kantonal letztinstanzliche Endentscheid des Kantonsgerichts Freiburg. Insoweit der Beschwerdeführer die Aufhebung des erstinstanzlichen Entscheids des Friedensgerichts T.________ beantragt, ist auf die Beschwerde nicht einzutreten. Ebenfalls nicht einzutreten ist auf die Beschwerde bezüglich des beantragten Entzugs des Aufenthaltsbestimmungsrechts der Beschwerdegegnerin sowie der beantragten Regelung des Besuchsrechts für C.________. Das Aufenthaltsbestimmungsrecht wurde der Beschwerdegegnerin mit dem erstinstanzlichen Entscheid entzogen, der Beschwerdeführer ist deshalb nicht beschwert. Hinsichtlich der Regelung des Besuchsrechts hat die Vorinstanz den erstinstanzlichen Entscheid aufgehoben und zur Neubeurteilung zurückgewiesen. Es liegt kein Endentscheid vor. Inwiefern die Voraussetzungen für die Anfechtung eines Zwischenentscheids erfüllt sein sollen (vgl. dazu BGE 134 II 124 E. 1.3 S. 127; 139 V 99 E. 1.3 S. 101), wird vom Beschwerdeführer nicht dargelegt.</w:t>
      </w:r>
    </w:p>
    <w:p>
      <w:r>
        <w:rPr>
          <w:b/>
        </w:rPr>
        <w:t>E. 2.1</w:t>
      </w:r>
    </w:p>
    <w:p>
      <w:r>
        <w:t>Mit Beschwerde in Zivilsachen können Rechtsverletzungen gemäss Art. 95 f. BGG gerügt werden. Unter Vorbehalt der Verletzung verfassungsmässiger Rechte wendet das Bundesgericht das Recht von Amtes wegen an ( Art. 106 Abs. 1 BGG ). Soweit die Aufhebung der elterlichen Obhut resp. des Aufenthaltsbestimmungsrechts in Frage steht, ist aber zu beachten, dass die kantonalen Gerichte eine Interessenabwägung vorgenommen haben. Bei der Überprüfung solcher Entscheide auferlegt sich das Bundesgericht Zurückhaltung (Urteil 5A_368/2014 vom 19. November 2014 E. 2).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132 III 97 E. 1 S. 99; 135 III 121 E. 2 S. 123 f.).</w:t>
      </w:r>
    </w:p>
    <w:p>
      <w:r>
        <w:rPr>
          <w:b/>
        </w:rPr>
        <w:t>E. 2.2</w:t>
      </w:r>
    </w:p>
    <w:p>
      <w:r>
        <w:t>Das Bundesgericht ist an den festgestellten Sachverhalt grundsätzlich gebunden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BGG ; BGE 137 III 226 E. 4.2 S. 234; 140 III 115 E. 2 S. 116 f.). Es gilt das strenge Rügeprinzip ( Art. 106 Abs. 2 BGG ), d.h. das Bundesgericht prüft nur klar und detailliert erhobene und, soweit möglich, belegte Rügen, während es auf ungenügend substanziierte Rügen und rein appellatorische Kritik am Sachverhalt nicht eintritt ( BGE 140 III 264 E. 2.3 S. 266; 141 IV 369 E. 6.3 S. 375).</w:t>
      </w:r>
    </w:p>
    <w:p>
      <w:r>
        <w:rPr>
          <w:b/>
        </w:rPr>
        <w:t>E. 2.3</w:t>
      </w:r>
    </w:p>
    <w:p>
      <w:r>
        <w:t>Neue Tatsachen und Beweismittel dürfen vor Bundesgericht nur so weit vorgebracht werden, als erst der Entscheid der Vorinstanz dazu Anlass gab ( Art. 99 Abs. 1 BGG ). In der Beschwerde ist darzutun, inwiefern diese Voraussetzung erfüllt sein soll ( BGE 139 III 120 E. 3.1.2 S. 123; 140 III 16 E. 1.3.1 S. 18). Tatsachen und Beweismittel, die nach dem angefochtenen Entscheid zutage getreten oder entstanden sind, können nicht durch das weitergezogene Urteil veranlasst worden sein. Solche echte Noven sind im bundesgerichtlichen Verfahren unzulässig ( BGE 135 I 221 E. 5.2.4 S. 230; 139 III 120 E. 3.1.2 S. 123). Das Schreiben des Sozialdienstes X.________ vom 26. Juni 2015 ist deshalb unbeachtlich.</w:t>
      </w:r>
    </w:p>
    <w:p>
      <w:r>
        <w:rPr>
          <w:b/>
        </w:rPr>
        <w:t>E. 3</w:t>
      </w:r>
    </w:p>
    <w:p>
      <w:r>
        <w:t>Die Vorinstanz kam gestützt auf die Jahresberichte 2012 und 2013 der Beiständin von C.________, deren Antrag auf Obhutsentzug vom 9. Dezember 2014 sowie der Einvernahmen des Beschwerdeführers und der anderen am Verfahren beteiligten Personen anlässlich der Sitzungen des Friedensgerichts T.________ vom 16. April 2014, 19. Dezember 2014 und 21. Januar 2015 zum Schluss, dass das Kindeswohl von C.________ in Bezug auf ihren Aufenthalt ein strukturiertes und stabiles Umfeld erfordere, welches vorliegend einzig mit ihrer Platzierung in einer Pflegefamilie gewährleistet werden könne. Auf die Einholung eines vom Beschwerdeführer beantragten Gutachtens zur Situation von C.________ und seiner Erziehungsfähigkeit verzichtete die Vorinstanz. Für die Vorinstanz war erstellt, dass sich der Beschwerdeführer seit Januar 2013, im Sinne einer Wochenendbetreuung (seit der Vereinbarung vom 16. April 2014 grundsätzlich jedes zweite Wochenende), regelmässig um C.________ kümmert. Eine länger andauernde, über diese Wochenendbetreuung hinausgehende Zeitdauer habe sich C.________ bisher (Ferien vorbehalten) nie beim Beschwerdeführer in Y.________ aufgehalten. Dieses Betreuungssystem habe bisher anscheinend einwandfrei funktioniert. Dem Beschwerdeführer werde denn auch attestiert, seine Vaterrolle in diesem Rahmen liebevoll wahrzunehmen. Die Kompetenz, C.________ ihren Bedürfnissen entsprechend "rund um die Uhr" zu Betreuen, sei dem Beschwerdeführer hingegen abzusprechen. Insbesondere aus den wiederholten und ausführlichen Berichten der zuständigen Fachperson, der Beiständin von C.________, ergebe sich, dass der Beschwerdeführer nicht in der Lage sei, C.________ die klaren Strukturen und Regeln vorzugeben, deren sie aufgrund ihrer schwierigen Vergangenheit sowie ihres Charakters bedürfe, um sich körperlich und geistig optimal zu entwickeln. An diesem Ergebnis würden auch die vom Beschwerdeführer verspätet eingereichten Beweismittel, die Bestätigung betreffend Reduktion des Arbeitspensums und der Fremdbetreuung, nichts ändern. Selbst bei einer Reduktion des Arbeitspensums durch den Beschwerdeführer auf 70 Prozent müsste C.________ fremdbetreut werden. Dies würde dazu führen, dass C.________ nicht nur örtlich durch den Umzug in das von Z.________ rund 45 Minuten entfernte Y.________, sondern auch betreffend Betreuungs-/Bezugspersonen eine erhebliche Umstellung durchleben müsste. Demgegenüber sei ihr die Grossfamilie F.________ im rund 20 Minuten entfernten V.________ bereits bekannt. Nicht nur befinde sich ihre kleine Halbschwester D.________ bereits dort, sondern es fänden auch schon regelmässig Besuche statt. Dazu komme, dass es sich bei der Grossfamilie F.________ um eine staatlich anerkannte Pflegefamilie handle, welche in der Lage sei, auf die individuellen Bedürfnisse von C.________ einzugehen. Ihre dortige Platzierung sei angemessen und geeignet, sie in ihrer Entwicklung zu unterstützen. Die aufgezeigten Bedürfnisse von C.________ würden den Wunsch des Beschwerdeführers überwiegen, mit ihr in einem Haushalt zu leben.</w:t>
      </w:r>
    </w:p>
    <w:p>
      <w:r>
        <w:rPr>
          <w:b/>
        </w:rPr>
        <w:t>E. 4.1</w:t>
      </w:r>
    </w:p>
    <w:p>
      <w:r>
        <w:t>Der Beschwerdeführer rügt eine offensichtlich unrichtige Sachverhaltsfeststellung und willkürliche Beweiswürdigung, ohne indessen hinreichend konkret aufzuzeigen, inwiefern dies der Fall sein soll (zu den Substanziierungsanforderungen bei Willkürrügen vgl. E. 2.2). Abgesehen davon, dass er über weite Strecken den erstinstanzlichen, statt den kantonsgerichtlichen Entscheid kritisiert ( Art. 75 Abs. 1 BGG ), hält er in freien, nicht konkret auf den angefochtenen Entscheid Bezug nehmenden Ausführungen seine eigene Sicht der Dinge fest (er kümmere sich zuverlässig und regelmässig um seine Tochter; seit D.________ nicht mehr gleichzeitig bei den Grosseltern lebe, sei keine Überforderung gegeben, zumal es den Grosseltern gesundheitlich gut gehe; es sei deshalb zu Unrecht gefolgert worden, dass C.________ fremdplatziert werden müsse; man habe immer die Situation von C.________ und D.________ gemeinsam angeschaut, obwohl erstere einen Vater habe, der geeignet und gewillt sei, sie zu betreuen; man müsste seine Situation vor Ort überprüfen; er könne sein Arbeitspensum anerkanntermassen auf 70 % reduzieren und er habe auch eine Tagesmutter) und äussert er sich mit ebenso appellatorischen Ausführungen zu den Aussagen der Beiständin (diese habe seine Anträge ursprünglich sogar unterstützt und in der Folge jedenfalls zunächst nie behauptet, dass er nicht fähig sein soll, C.________ keine klaren Strukturen und Regeln vorzugeben; es sei unklar, worauf sie ihre jetzigen Aussagen stütze, zumal sie ihn letztmals im Jahr 2013 gesehen habe), der Mutter (diese habe das Kind kaum selbst betreut und es auch nicht regelmässig besucht) und der Grosseltern (diese seien befangen und hätten Angst, C.________ zu verlieren). Der Beschwerdeführer zeigt nicht mit der für Willkürrügen erforderlichen Substanziierung auf, welche Beweismittel das Kantonsgericht übersehen oder inwiefern es diese in unhaltbarer Weise gewürdigt haben soll.</w:t>
      </w:r>
    </w:p>
    <w:p>
      <w:r>
        <w:rPr>
          <w:b/>
        </w:rPr>
        <w:t>E. 4.2</w:t>
      </w:r>
    </w:p>
    <w:p>
      <w:r>
        <w:t>Der Beschwerdeführer kritisiert insbesondere auch, dass die Vorinstanz in antizipierter Beweiswürdigung kein Gutachten zur Erziehungsfähigkeit des Beschwerdeführers abgenommen hat mit der Begründung, aufgrund der Würdigung der vorhandenen Beweismittel zeige sich, dass C.________ ein strukturiertes und stabiles Umfeld benötige, welches einzig mit der Platzierung in einer Pflegefamilie gewährleistet werden könne, und angesichts des klaren Ergebnisses vermöchte ein Gutachten daran voraussichtlich nichts zu ändern.</w:t>
      </w:r>
    </w:p>
    <w:p>
      <w:r>
        <w:t>Die antizipierte Beweiswürdigung ist ein Teil der Beweiswürdigung, die vom Bundesgericht nur auf Willkür hin überprüft werden kann (BGE 138III 374 E. 4.3.2 S. 376). Der Vorinstanz lagen die Berichte der Beiständin von C.________ sowie die Einvernahmen der Verfahrensbeteiligten vor, die aufzeigen, dass das für die Tochter erforderliche stabile und strukturierte Umfeld beim Beschwerdeführer nicht hinreichend gewährleistet ist. Die Vorinstanz durfte aufgrund einer Würdigung dieser Beweise willkürfrei zum Schluss gelangen, dass ein Gutachten an diesem Ergebnis nichts ändern würde.</w:t>
      </w:r>
    </w:p>
    <w:p>
      <w:r>
        <w:rPr>
          <w:b/>
        </w:rPr>
        <w:t>E. 4.3</w:t>
      </w:r>
    </w:p>
    <w:p>
      <w:r>
        <w:t>Weiter rügt der Beschwerdeführer eine "Verletzung der Zivilprozessordnung". Ein Entscheid dürfe nur gefällt werden, wenn zu einem solchen vorgeladen worden sei, und es sei auch zwingend ein sinngemässes Beweisverfahren durchzuführen.</w:t>
      </w:r>
    </w:p>
    <w:p>
      <w:r>
        <w:t>Mit diesen Vorbringen scheint der Beschwerdeführer das erstinstanzliche Verfahren zu kritisieren bzw. sich gegen den erstinstanzlichen Entscheid zu wenden, welcher indes nicht Anfechtungsobjekt des vorliegenden Verfahrens ist ( Art. 75 Abs. 1 BGG ); der Beschwerdeführer hätte diesfalls darlegen müssen, dass er form- und fristgerecht bereits vor dem Kantonsgericht eine Verletzung konkreter zivilprozessualer Verfahrensrechte gerügt hätte, so dass das Vorbringen im bundesgerichtlichen Verfahren nicht als neu und damit unzulässig zu gelten hätte ( Art. 99 Abs. 1 BGG ).</w:t>
      </w:r>
    </w:p>
    <w:p>
      <w:r>
        <w:t>Möglicherweise beziehen sich die Ausführungen jedoch auf das kantonsgerichtliche Verfahren; diesfalls wäre aber mit substanziierten Rügen darzutun, welche zivilprozessualen Normen und inwiefern diese verletzt worden sein sollen, denn das Kantonsgericht hat vorliegend die Zivilprozessordnung als subsidiäres kantonales Recht zur Anwendung gebracht ( Art. 450f ZGB , angefochtener Entscheid E. 1g), so dass Willkürrügen zu erheben gewesen wären ( BGE 139 III 225 E. 2.3 S. 231).</w:t>
      </w:r>
    </w:p>
    <w:p>
      <w:r>
        <w:rPr>
          <w:b/>
        </w:rPr>
        <w:t>E. 4.4.1</w:t>
      </w:r>
    </w:p>
    <w:p>
      <w:r>
        <w:t>In materieller Hinsicht rügt der Beschwerdeführer eine Verletzung von Art. 310 Abs. 1 ZGB . Die Kriterien der Subsidiarität, Proportionalität und Komplementarität seien nicht geprüft worden. Wenn die Möglichkeit bestehe, dass der Vater den Bedürfnissen der Tochter gerecht werden könne, fehle die gesetzliche Grundlage, ihm das Aufenthaltsbestimmungsrecht abzuerkennen und C.________ in einer Grossfamilie zu platzieren.</w:t>
      </w:r>
    </w:p>
    <w:p>
      <w:r>
        <w:rPr>
          <w:b/>
        </w:rPr>
        <w:t>E. 4.4.2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(Urteile 5A_701/2011 vom 12. März 2012 E. 4.2.1; 5A_188/2013 vom 17. Mai 2013 E. 3; 5A_401/2015 vom 7. September 2015 E. 5.2).</w:t>
      </w:r>
    </w:p>
    <w:p>
      <w:r>
        <w:rPr>
          <w:b/>
        </w:rPr>
        <w:t>E. 4.4.3</w:t>
      </w:r>
    </w:p>
    <w:p>
      <w:r>
        <w:t>In einem ersten Schritt stellt sich die Frage nach der Zulässigkeit der "Wegnahme" und Platzierung von C.________. Diesbezüglich ergibt sich, dass die Beiständin am 9. Dezember 2014 den Antrag stellte, der Mutter die Obhut über C.________ zu entziehen und sie in der Grossfamilie F.________ zu platzieren. In diesem Zeitpunkt wurde das Kind durch die Grosseltern mütterlicherseits hauptbetreut, während der Beschwerdeführer ein erweitertes Besuchsrecht von Donnerstagabend bis Sonntagabend ausübte. Insofern wurde das Kind nicht ihm "weggenommen". Indes kommt ihm als gemeinsamem Inhaber der elterlichen Sorge ebenfalls das Aufenthaltsbestimmungsrecht über C.________ zu. Die Vorinstanz begründete dessen Aufhebung damit, dass die Grosseltern, welche dem Kind den erforderlichen festen Rahmen an sich bieten könnten, an ihre Grenzen stiessen, nicht zuletzt aus Altersgründen. Ohne den betreffenden Rahmen liege eine Gefährdung der Entwicklung des Kindes vor, weshalb eine neue Lösung gefunden werden müsse. Vor dem Hintergrund dieser Sachverhaltsfeststellungen war die Aufhebung des Aufenthaltsbestimmungsrechtes und die Platzierung des Kindes erforderlich.</w:t>
      </w:r>
    </w:p>
    <w:p>
      <w:r>
        <w:t>Im einem zweiten Schritt stellt sich die Frage, ob Bundesrecht verletzt ist, wenn das Kind neu in der Grossfamilie F.________ und nicht beim Vater platziert worden ist. Diesbezüglich hat das Kantonsgericht mit Blick auf das Kindeswohl eine Interessenabwägung vorgenommen und befunden, dass die geistige und körperliche Entwicklung von C.________ in der Grossfamilie F.________ einstweilen am besten gewährleistet sei, weil sie aufgrund des Drogenproblems der Mutter eine schwierige Vergangenheit hinter sich habe und ihr willensstarker Charakter eine klare Führung und Struktur erforderlich mache. Die Verhältnisse beim Vater seien unklar; es sei nicht erwiesen, dass er sein Arbeitspensum reduzieren könne und konkrete Abklärungen zu einer möglichen Fremdbetreuung seien von ihm nicht getroffen worden. Er sei zwar ein guter Vater und er habe sein Kind gern; es bestünden aber Zweifel, ob er es schaffen könnte, seiner lebhaften und willensstarken Tochter die notwendigen Grenzen zu setzen. Die Mutter, die Grosseltern und die Beiständin würden dies bezweifeln. Anlässlich der Anhörung vor dem Friedensgericht habe er liebenswürdig, aber sehr weich, konzept- und planlos gewirkt. Ferner sei zu berücksichtigen, dass C.________ bei einer Platzierung in der Grossfamilie wieder mit ihrer Halbschwester D.________ zusammenleben könne. Auch wenn die beiden nur kurze Zeit gemeinsam bei den Grosseltern mütterlicherseits gewohnt hätten, bestehe eine starke Bindung zwischen den Geschwistern und sei eine gemeinsame Kindheit für ihre Entwicklung wichtig. Vor dem Hintergrund dieser willkürfreien (dazu E. 4.1) und damit für das Bundesgericht verbindlichen Sachverhaltsfeststellungen ( Art. 105 Abs. 1 BGG ) erweist sich die Platzierung von C.________ in der Grossfamilie F.________ in der aktuellen Situation als geeignet, womit sie vor Bundesrecht standhält.</w:t>
      </w:r>
    </w:p>
    <w:p>
      <w:r>
        <w:rPr>
          <w:b/>
        </w:rPr>
        <w:t>E. 5</w:t>
      </w:r>
    </w:p>
    <w:p>
      <w:r>
        <w:t>Die Beschwerde erweist sich als unbegründet und ist abzuweisen, soweit darauf einzutreten ist. Bei diesem Ausgang des Verfahrens sind die Gerichtskosten dem Beschwerdeführer aufzuerlegen ( Art. 66 Abs. 1 BGG ). Zudem hat der Beschwerdeführer die Beschwerdegegnerin für ihre Vernehmlassung zur Frage der aufschiebenden Wirkung zu entschädigen ( Art. 68 Abs. 1 BGG ). Damit wird das von der Beschwerdegegnerin gestellte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