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5A_537/2020 vom 7. Juli 2020</w:t>
      </w:r>
    </w:p>
    <w:p>
      <w:r>
        <w:t>Bundesgericht, 2020-07-07, IT</w:t>
      </w:r>
    </w:p>
    <w:p>
      <w:r>
        <w:rPr>
          <w:b/>
        </w:rPr>
        <w:t xml:space="preserve">Quelle: </w:t>
      </w:r>
      <w:r>
        <w:t>https://mcp.opencaselaw.ch/entscheid/bger_5A_537_2020</w:t>
      </w:r>
    </w:p>
    <w:p>
      <w:r>
        <w:t>FR: TF 5A_537/2020 du 7 juillet 2020</w:t>
      </w:r>
    </w:p>
    <w:p>
      <w:r>
        <w:t>IT: TF 5A_537/2020 del 7 luglio 2020</w:t>
      </w:r>
    </w:p>
    <w:p>
      <w:pPr>
        <w:pStyle w:val="Heading2"/>
      </w:pPr>
      <w:r>
        <w:t>Erwägungen</w:t>
      </w:r>
    </w:p>
    <w:p>
      <w:r>
        <w:rPr>
          <w:b/>
        </w:rPr>
        <w:t>E. 1</w:t>
      </w:r>
    </w:p>
    <w:p>
      <w:r>
        <w:t>La SUVA Bellinzona ha escusso A.________ per l'incasso fr. 21.20 e fr. 71'779.10, indicando quali cause dei crediti " Spese di cura Pagamento diretto 2016, esigibile 06.07.2017 ", rispettivamente " Prestazione indennità giornaliera 2016 / 2017, esigibile 06.07.2017 ". L'escusso ha interposto opposizione al precetto esecutivo.</w:t>
      </w:r>
    </w:p>
    <w:p>
      <w:r>
        <w:t>Con decisione 3 febbraio 2020 il Pretore del Distretto di Lugano, in accoglimento dell'istanza della SUVA Bellinzona, ha rigettato in via definitiva l'opposizione.</w:t>
      </w:r>
    </w:p>
    <w:p>
      <w:r>
        <w:t>Mediante sentenza 4 giugno 2020 la Camera di esecuzione e fallimenti del Tribunale d'appello del Cantone Ticino ha dichiarato irricevibile il reclamo presentato da A.________ avverso la decisione pretorile, ritenendo che egli non si fosse confrontato con la motivazione del Giudice di prime cure. La Corte cantonale ha aggiunto che il reclamo (basato sul fatto che il Pretore, nell'ambito di una precedente esecuzione volta all'incasso della stessa pretesa, aveva già respinto due istanze di rigetto della creditrice procedente) risultava in ogni modo infondato, osservando che l'istanza di rigetto dell'opposizione non acquisisce forza di regiudicata in merito all'esistenza del credito litigioso (e pertanto non impedisce al creditore escutente di chiedere di nuovo il rigetto, anche nella stessa esecuzione, producendo i documenti idonei a giustificare la propria pretesa che aveva omesso di allegare alla precedente istanza) e che l'emissione di più precetti esecutivi per lo stesso credito non è vietata finché nessuna delle esecuzioni è giunta allo stadio dell'esecuzione.</w:t>
      </w:r>
    </w:p>
    <w:p>
      <w:r>
        <w:rPr>
          <w:b/>
        </w:rPr>
        <w:t>E. 2</w:t>
      </w:r>
    </w:p>
    <w:p>
      <w:r>
        <w:t>Con ricorso datato 29 giugno 2020 A.________ ha impugnato la sentenza cantonale.</w:t>
      </w:r>
    </w:p>
    <w:p>
      <w:r>
        <w:t>Non sono state chieste determinazioni.</w:t>
      </w:r>
    </w:p>
    <w:p>
      <w:r>
        <w:rPr>
          <w:b/>
        </w:rPr>
        <w:t>E. 3.1</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Quando, come in concreto, la sentenza impugnata (o parte di essa) si fonda su più motivazioni indipendenti (alternative o sussidiarie), la parte ricorrente deve confrontarsi con ognuna di esse in modo conforme agli art. 42 cpv. 2 e 106 cpv. 2 LTF, pena l'inammissibilità ( DTF 142 III 364 consid. 2.4 con rinvii).</w:t>
      </w:r>
    </w:p>
    <w:p>
      <w:r>
        <w:rPr>
          <w:b/>
        </w:rPr>
        <w:t>E. 3.2</w:t>
      </w:r>
    </w:p>
    <w:p>
      <w:r>
        <w:t>Il rimedio all'esame non soddisfa tali esigenze di motivazione. Il ricorrente si limita infatti a produrre gli atti precedenti e a chiedere che " vista la [sua] situazione [...] tutto ciò venga respinto ". In tal modo egli non si misura con nessuna delle due argomentazioni indipendenti (di irricevibilità, subordinatamente di infondatezza del reclamo) poste a fondamento dell'impugnata sentenza e tantomeno spiega in che modo esse sarebbero contrarie al diritto.</w:t>
      </w:r>
    </w:p>
    <w:p>
      <w:r>
        <w:rPr>
          <w:b/>
        </w:rPr>
        <w:t>E. 4</w:t>
      </w:r>
    </w:p>
    <w:p>
      <w:r>
        <w:t>Da quanto precede discende che il ricorso, manifestamente non motivato in modo sufficiente, può essere deciso nella procedura semplificata dell' art.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 ricorrente.</w:t>
      </w:r>
    </w:p>
    <w:p>
      <w:r>
        <w:t>3.</w:t>
      </w:r>
    </w:p>
    <w:p>
      <w:r>
        <w:t>Comunicazione alle parti e alla Camera di esecuzione e fallimenti del Tribunale d'appello del Cantone Ticino.</w:t>
      </w:r>
    </w:p>
    <w:p>
      <w:r>
        <w:t>Losanna, 7 luglio 2020</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