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535/2019 vom 25. Juli 2019</w:t>
      </w:r>
    </w:p>
    <w:p>
      <w:r>
        <w:t>Bundesgericht, 2019-07-25, FR</w:t>
      </w:r>
    </w:p>
    <w:p>
      <w:r>
        <w:rPr>
          <w:b/>
        </w:rPr>
        <w:t xml:space="preserve">Quelle: </w:t>
      </w:r>
      <w:r>
        <w:t>https://mcp.opencaselaw.ch/entscheid/bger_5A_535_2019</w:t>
      </w:r>
    </w:p>
    <w:p>
      <w:r>
        <w:t>FR: TF 5A 535/2019 du 25 juillet 2019</w:t>
      </w:r>
    </w:p>
    <w:p>
      <w:r>
        <w:t>IT: TF 5A 535/2019 del 25 luglio 2019</w:t>
      </w:r>
    </w:p>
    <w:p>
      <w:pPr>
        <w:pStyle w:val="Heading2"/>
      </w:pPr>
      <w:r>
        <w:t>Regeste</w:t>
      </w:r>
    </w:p>
    <w:p>
      <w:r>
        <w:t>effet suspensif (autorité parentale, droit de garde) | Droit de la famille</w:t>
      </w:r>
    </w:p>
    <w:p>
      <w:pPr>
        <w:pStyle w:val="Heading2"/>
      </w:pPr>
      <w:r>
        <w:t>Erwägungen</w:t>
      </w:r>
    </w:p>
    <w:p>
      <w:r>
        <w:rPr>
          <w:b/>
        </w:rPr>
        <w:t>E. 1.1</w:t>
      </w:r>
    </w:p>
    <w:p>
      <w:r>
        <w:t>Interjeté en temps utile ( art. 100 al. 1 LTF ) et dans la forme légale ( art. 42 al. 1 LTF ) par une partie qui a pris part à la procédure devant l'autorité précédente et a un intérêt digne de protection à son annulation ou à sa modification ( art. 76 al. 1 LTF ), le recours est dirigé contre une décision qui suspend l'exécution d'une ordonnance portant notamment sur l'autorité parentale, la garde et l'institution d'une curatelle d'organisation et de surveillance du droit de visite, à savoir une décision incidente rendue dans une cause de nature non pécuniaire (arrêt 5A_331/2015 du 20 janvier 2016 consid. 1 non publié in ATF 142 III 56 ), sujette au recours en matière civile ( art. 72 al. 2 let. 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En l'occurrence, seule l'hypothèse de l' art. 93 al. 1 let. a LTF entre en considération. Le " préjudice irréparable " au sens de cette disposition doit être de nature juridique et ne pas pouvoir être réparé ultérieurement par une décision finale favorable au recourant ( ATF 143 III 416 consid. 1.3 et les références). Il appartient au recourant d'alléguer et d'établir la possibilité que la décision préjudicielle ou incidente lui cause un tel dommage, à moins que celui-ci ne fasse d'emblée aucun doute ( ATF 142 III 798 consid. 2.2 et les références). En l'espèce, contrairement à ce que soutient la mère, le recourant fait valoir à juste titre que la décision attaquée, qui le prive notamment de l'autorité parentale et de la garde pendant la durée de la procédure de deuxième instance, est susceptible d'entraîner un préjudice irréparable. En effet, selon la jurisprudence, lorsque les mesures provisionnelles litigieuses concernent le sort des enfants, la décision qui les ordonne peut entraîner un tel préjudice à la partie recourante, car même le succès du recours au fond ne pourrait pas compenser rétroactivement l'exercice des prérogatives parentales dont l'intéressé a été frustré pendant la période écoulée ( ATF 137 III 475 consid. 1 et les références; arrêt 5A_663/2018 du 12 septembre 2018 consid. 3). La pièce produite par l'intimée, à savoir une ordonnance de mesures superprovisionnelles rendue le 8 juillet 2019 par le Tribunal de protection, n'est - indépendamment de la question de savoir si ledit tribunal était compétent pour rendre une telle ordonnance - pas propre à modifier cette conclusion. Il s'agit en effet d'une décision postérieure à la décision querellée (cf. infra consid. 2.3), qui n'instaure qu'un droit de visite en faveur du père mais ne traite ni de l'autorité parentale ni de la garde, objets de la présente procédure.</w:t>
      </w:r>
    </w:p>
    <w:p>
      <w:r>
        <w:rPr>
          <w:b/>
        </w:rPr>
        <w:t>E. 2.1</w:t>
      </w:r>
    </w:p>
    <w:p>
      <w:r>
        <w:t>Lorsque, comme en l'espèce, la décision attaquée porte sur des mesures provisionnelles au sens de l' art. 98 LTF ( ATF 137 III 475 consid. 2), seule la violation de droits constitutionnels peut être invoquée.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préciser en quoi consiste la violation ( ATF 134 II 349 consid. 3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1.2 et la référence; arrêt 5A_904/2015 du 29 septembre 2016 consid. 2.3 non publié in ATF 142 III 617 ), vise les faits qui sont rendus pertinents pour la première fois par la décision attaquée.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En l'espèce, la pièce nouvelle produite par le père à l'appui de son recours, à savoir un contrat de bail du 11 juin 2019, est antérieure à la décision querellée sans que le recourant explique en quoi l'une des exceptions de l' art. 99 al. 1 LTF serait remplie. Partant, elle est d'emblée irrecevable. Les autres documents que le recourant a joints à son écriture sont en revanche recevables en tant qu'il s'agit de copies de pièces figurant déjà au dossier cantonal ou d'actes procéduraux.</w:t>
      </w:r>
    </w:p>
    <w:p>
      <w:r>
        <w:rPr>
          <w:b/>
        </w:rPr>
        <w:t>E. 3.1</w:t>
      </w:r>
    </w:p>
    <w:p>
      <w:r>
        <w:t>Considérant que la levée de l'effet suspensif prévue par l' art. 450c CC devait être appréciée de cas en cas et ne devait pas être prononcée de manière trop large, que la nécessité de la mise en oeuvre immédiate de la décision devait correspondre à l'intérêt du mineur et que, de manière générale en matière de garde, la situation prévalant au moment de la décision devait être maintenue, l'autorité cantonale a jugé qu'en l'espèce, le dossier ne laissait pas apparaître d'urgence particulière à ce que la mesure ordonnée soit exécutée immédiatement, dès lors que le mineur habitait avec ses deux parents, et qu'il convenait par conséquent d'octroyer l'effet suspensif au recours.</w:t>
      </w:r>
    </w:p>
    <w:p>
      <w:r>
        <w:rPr>
          <w:b/>
        </w:rPr>
        <w:t>E. 3.2</w:t>
      </w:r>
    </w:p>
    <w:p>
      <w:r>
        <w:t>Le recourant reproche à l'autorité cantonale d'avoir arbitrairement établi les faits, apprécié les preuves de manière insoutenable, violé son droit d'être entendu, commis un déni de justice formel et appliqué arbitrairement les art. 446 al. 1 et 450c CC en accordant l'effet suspensif au recours de la mère. En substance, il soutient qu'elle aurait omis de traiter, respectivement aurait arbitrairement écarté, son allégué selon lequel il allait déménager le 15 juin 2019 au plus tard, alors qu'il l'avait fait valoir dans sa réponse sur l'effet suspensif du 11 juin 2019 et avait produit l'e-mail de la régie confirmant l'attribution d'un appartement de 2.5 pièces. Il soutient que cet élément serait décisif pour l'issue du litige, dès lors que la juridiction précédente s'est uniquement fondée sur la vie commune des parties pour nier le caractère urgent des mesures prononcées. L'autorité cantonale aurait par ailleurs arbitrairement omis de constater d'autres faits pertinents, en particulier les problèmes d'alcool de la mère et le comportement inadéquat de celle-ci envers l'enfant.</w:t>
      </w:r>
    </w:p>
    <w:p>
      <w:r>
        <w:rPr>
          <w:b/>
        </w:rPr>
        <w:t>E. 3.3.1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143 III 65 consid. 5.2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viole l' art. 29 al. 2 Cst. si elle omet de se prononcer sur des griefs qui présentent une certaine pertinence ou de prendre en considération des allégués et arguments importants pour la décision à rendre ( ATF 141 V 557 consid. 3.2.1 et les références).</w:t>
      </w:r>
    </w:p>
    <w:p>
      <w:r>
        <w:rPr>
          <w:b/>
        </w:rPr>
        <w:t>E. 3.3.2</w:t>
      </w:r>
    </w:p>
    <w:p>
      <w:r>
        <w:t>En l'espèce, après avoir constaté que, selon la mère, la vie commune des parties rendait " totalement absurde " l'application immédiate de l'ordonnance du premier juge, l'autorité cantonale s'est contentée de retenir qu'il n'y avait pas d'urgence particulière au dossier, le mineur habitant actuellement avec ses deux parents. Ce faisant, elle a complètement passé sous silence l'argument du père - pourtant documenté et pertinent pour l'issue du litige - relatif à la prise d'un domicile séparé prévue pour le 15 juin 2019, violant ainsi l' art. 29 al. 2 Cst. Le grief du recourant doit par conséquent être admis et la cause renvoyée à l'autorité cantonale pour qu'elle examine cet élément et, si besoin est, procède à une nouvelle pesée des intérêts.</w:t>
      </w:r>
    </w:p>
    <w:p>
      <w:r>
        <w:rPr>
          <w:b/>
        </w:rPr>
        <w:t>E. 4</w:t>
      </w:r>
    </w:p>
    <w:p>
      <w:r>
        <w:t>En définitive, le recours est admis dans la mesure de sa recevabilité et l'affaire est renvoyée à l'autorité cantonale pour nouvelle décision. Les frais judiciaires sont mis à la charge de l'intimée, qui succombe ( art. 66 al. 1 LTF ) et qui versera en outre une indemnité de dépens au recourant ( art. 68 al. 1 et 2 LTF ). S'agissant des frais de la procédure cantonale, la juridiction précédente a indiqué qu'il serait statué à leur sujet dans la procédure au fond, de sorte qu'il n'y a pas lieu à ce stade de se prononcer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