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5A_533/2012 vom 5. Dezember 2012</w:t>
      </w:r>
    </w:p>
    <w:p>
      <w:r>
        <w:t>Bundesgericht, 2012-12-05, DE</w:t>
      </w:r>
    </w:p>
    <w:p>
      <w:r>
        <w:rPr>
          <w:b/>
        </w:rPr>
        <w:t xml:space="preserve">Quelle: </w:t>
      </w:r>
      <w:r>
        <w:t>https://mcp.opencaselaw.ch/entscheid/bger_5A_533_2012</w:t>
      </w:r>
    </w:p>
    <w:p>
      <w:r>
        <w:t>FR: TF 5A_533/2012 du 5 décembre 2012</w:t>
      </w:r>
    </w:p>
    <w:p>
      <w:r>
        <w:t>IT: TF 5A_533/2012 del 5 dicembre 2012</w:t>
      </w:r>
    </w:p>
    <w:p>
      <w:pPr>
        <w:pStyle w:val="Heading2"/>
      </w:pPr>
      <w:r>
        <w:t>Erwägungen</w:t>
      </w:r>
    </w:p>
    <w:p>
      <w:r>
        <w:rPr>
          <w:b/>
        </w:rPr>
        <w:t>E. 1.1</w:t>
      </w:r>
    </w:p>
    <w:p>
      <w:r>
        <w:t>Entscheide der kantonalen Aufsichtsbehörde in Schuldbetreibungs- und Konkurssachen über Verfügungen eines Vollstreckungsorgans - wie hier die Konkursandrohung - sind Endentscheide und unterliegen unabhängig von einer gesetzlichen Streitwertgrenze der Beschwerde in Zivilsachen ( Art. 72 Abs. 2 lit. a, Art. 74 Abs. 2 lit. c, Art. 75 und Art. 90 BGG ; Urteil 5A_814/2008 vom 12. März 2009 E. 1.1, nicht publ. in: BGE 135 III 374 ). Die im Übrigen fristgerecht ( Art. 100 Abs. 2 lit. a BGG ) eingereichte Beschwerde in Zivilsachen ist somit grundsätzlich zulässig.</w:t>
      </w:r>
    </w:p>
    <w:p>
      <w:r>
        <w:rPr>
          <w:b/>
        </w:rPr>
        <w:t>E. 1.2.1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da das Bundesgericht nicht gehalten ist, wie eine erstinstanzliche Behörde alle sich stellenden rechtlichen Fragen zu untersuchen ( BGE 137 III 580 E. 1.3 S. 584; 134 V 53 E. 3.3 S. 60).</w:t>
      </w:r>
    </w:p>
    <w:p>
      <w:r>
        <w:rPr>
          <w:b/>
        </w:rPr>
        <w:t>E. 1.2.2</w:t>
      </w:r>
    </w:p>
    <w:p>
      <w:r>
        <w:t>Die Verletzung von Grundrechten prüft das Bundesgericht nur insofern, als eine solche Rüge in der Beschwerde vorgebracht und gehörig begründet wird ( Art. 106 Abs. 2 BGG ). Die Beschwerdeführerin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1.2.3</w:t>
      </w:r>
    </w:p>
    <w:p>
      <w:r>
        <w:t>Das Bundesgericht legt seinem Urteil den Sachverhalt zugrunde, den die Vorinstanz festgestellt hat ( Art. 105 Abs. 1 BGG ). Neue Tatsachen und Beweismittel dürfen vor Bundesgericht nur so weit vorgebracht werden, als erst der Entscheid der Vorinstanz dazu Anlass gibt ( Art. 99 Abs. 1 BGG ).</w:t>
      </w:r>
    </w:p>
    <w:p>
      <w:r>
        <w:t>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Das Vorliegen dieser Voraussetzungen hat die Beschwerdeführerin genau darzulegen. Auf rein appellatorische Kritik an der vorinstanzlichen Sachverhaltsfeststellung tritt das Bundesgericht nicht ein ( BGE 137 II 353 E. 5.1 S. 356).</w:t>
      </w:r>
    </w:p>
    <w:p>
      <w:r>
        <w:rPr>
          <w:b/>
        </w:rPr>
        <w:t>E. 2</w:t>
      </w:r>
    </w:p>
    <w:p>
      <w:r>
        <w:t>Das Obergericht hat im angefochtenen Entscheid festgestellt, die Konkursandrohung sei am 23. April 2012 dem "Domizilhalter" der Beschwerdeführerin, A.________, zugestellt worden.</w:t>
      </w:r>
    </w:p>
    <w:p>
      <w:r>
        <w:t>Es hat sodann erwogen, die Zustellung von Betreibungsurkunden an den Domizilhalter einer Gesellschaft, die am Ort ihres statutarischen Sitzes kein Geschäftsbüro habe, sei rechtmässig. Demnach sei vorliegend die Zustellung der Konkursandrohung an die Beschwerdeführerin am 23. April 2012 ordnungsgemäss erfolgt. Die auf Wunsch und eigene Gefahr der Beschwerdeführerin getroffene Vereinbarung mit dem Betreibungsamt, wonach allfällige Zustellungen an sie vorgängig dem einzigen Verwaltungsrat telefonisch zu "avisieren" seien, vermöge an der Rechtsgültigkeit der Zustellung an den Domizilhalter nichts zu ändern.</w:t>
      </w:r>
    </w:p>
    <w:p>
      <w:r>
        <w:t>Bei diesem Ergebnis sei die am 4. Juni 2012 eingereichte Beschwerde gegen die Konkursandrohung verspätet erfolgt und darauf nicht einzutreten.</w:t>
      </w:r>
    </w:p>
    <w:p>
      <w:r>
        <w:rPr>
          <w:b/>
        </w:rPr>
        <w:t>E. 3.1.1</w:t>
      </w:r>
    </w:p>
    <w:p>
      <w:r>
        <w:t>Die Beschwerdeführerin rügt eine Verletzung des Willkürverbots ( Art. 9 BV ) und ihres Anspruchs auf rechtliches Gehör ( Art. 29 Abs. 2 BV ), da das Obergericht einen Nichteintretensentscheid gefällt habe, ohne die Sache richtig zu prüfen, weshalb es an einer sachbezogenen Begründung fehle. Das Obergericht habe es auch unterlassen, ihr Gesuch um Wiederherstellung der Beschwerdefrist zu behandeln und zu begründen.</w:t>
      </w:r>
    </w:p>
    <w:p>
      <w:r>
        <w:rPr>
          <w:b/>
        </w:rPr>
        <w:t>E. 3.1.2</w:t>
      </w:r>
    </w:p>
    <w:p>
      <w:r>
        <w:t>Das rechtliche Gehör nach Art. 29 Abs. 2 BV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Ob die Begründung zutrifft, ist nicht eine Frage der formellen Begründungspflicht (Urteil 1B_56/2007 vom 15. Mai 2007 E. 2).</w:t>
      </w:r>
    </w:p>
    <w:p>
      <w:r>
        <w:rPr>
          <w:b/>
        </w:rPr>
        <w:t>E. 3.1.3</w:t>
      </w:r>
    </w:p>
    <w:p>
      <w:r>
        <w:t>Inwiefern der angefochtene Nichteintretensentscheid ungenügend begründet sein sollte, ist nicht ersichtlich. Die Begründung ist zwar knapp ausgefallen, jedoch ergibt sich daraus mit genügender Klarheit, weshalb das Obergericht nicht auf die Beschwerde eingetreten ist. Das Obergericht hat sowohl die rechtmässige Zustellung an den Domizilhalter als auch den von der Beschwerdeführerin vorgebrachten Einwand einer Vereinbarung mit dem Betreibungsamt behandelt.</w:t>
      </w:r>
    </w:p>
    <w:p>
      <w:r>
        <w:t>Das Obergericht ist auf die Beschwerde nicht eingetreten und hat damit sinngemäss auch das Gesuch um Wiederherstellung der Beschwerdefrist abgewiesen. Wie aus der Urteilsbegründung (vgl. dazu BGE 136 III 345 E. 2.1 S. 348) klar hervorgeht, hat es den von der Beschwerdeführerin vorgebrachten Wiederherstellungsgrund als nicht einschlägig erachtet.</w:t>
      </w:r>
    </w:p>
    <w:p>
      <w:r>
        <w:t>Die Rüge der Verletzung von Art. 29 Abs. 2 BV erweist sich demnach als unbegründet. Inwiefern in diesem Zusammenhang der von der Beschwerdeführerin ebenfalls erhobenen Willkürrüge selbstständige Bedeutung zukommen soll, ist nicht ersichtlich.</w:t>
      </w:r>
    </w:p>
    <w:p>
      <w:r>
        <w:rPr>
          <w:b/>
        </w:rPr>
        <w:t>E. 3.2.1</w:t>
      </w:r>
    </w:p>
    <w:p>
      <w:r>
        <w:t>Die Beschwerdeführerin legt sodann dar, sie habe bereits in ihrer Beschwerdeschrift an das Obergericht dargelegt, erst am 25. Mai 2012 völlig überraschend von der Vorladung zur Konkursverhandlung vom 12. Juni 2012 Kenntnis erlangt zu haben. Diese Vorladung sei ihrem Domizilhalter am 24. Mai 2012 zugestellt worden. Stelle man damit auf diese Zustellung ab, sei die Beschwerde vom 4. Juni 2012 rechtzeitig erfolgt.</w:t>
      </w:r>
    </w:p>
    <w:p>
      <w:r>
        <w:t>Wenn das Obergericht sodann zum Schluss komme, die Zustellung der Konkursandrohung sei am 23. April 2012 durch Übergabe an den Domizilhalter rechtmässig erfolgt, sei dies unzutreffend. Zwar habe sie zu einem früheren Zeitpunkt eine Zustelladresse (Domizilhalter) bestimmt. Jedoch habe sie in der Folge das Betreibungsamt angewiesen, alle Zustellungen direkt an die private Adresse ihres einzigen Verwaltungsrats zu richten. Deshalb habe die Zustellung von Betreibungsurkunden einzig noch an ihren Verwaltungsrat erfolgen können und sei die Zustelladresse gemäss Handelsregistereintrag hinfällig geworden.</w:t>
      </w:r>
    </w:p>
    <w:p>
      <w:r>
        <w:rPr>
          <w:b/>
        </w:rPr>
        <w:t>E. 3.2.2</w:t>
      </w:r>
    </w:p>
    <w:p>
      <w:r>
        <w:t>Soweit die Beschwerdeführerin den Sachverhalt aus ihrer eigenen Sicht darstellt (und sich dabei teilweise auf neue Tatsachen stützt; vgl. Art. 99 Abs. 1 BGG ), unterlässt sie es, die obergerichtlichen Feststellungen rechtsgenüglich zu rügen ( Art. 97 Abs. 1 BGG ; vgl. E. 1.2.3 oben). Mit der massgeblichen Erwägung des Obergerichts, die Konkursandrohung sei dem Domizilhalter der Beschwerdeführerin am 23. April 2012 zugestellt worden sei, setzt sie sich im Übrigen nicht auseinander ( Art. 42 Abs. 2 BGG ; vgl. E. 1.2.1 oben).</w:t>
      </w:r>
    </w:p>
    <w:p>
      <w:r>
        <w:t>Darauf ist nicht einzutreten.</w:t>
      </w:r>
    </w:p>
    <w:p>
      <w:r>
        <w:rPr>
          <w:b/>
        </w:rPr>
        <w:t>E. 4</w:t>
      </w:r>
    </w:p>
    <w:p>
      <w:r>
        <w:t>Aus den dargelegten Gründen muss die Beschwerde abgewiesen werden, soweit darauf einzutreten ist. Die Beschwerdeführerin wird kostenpflichtig, nicht hingegen entschädigungspflichtig, da das Bundesgericht in der Sache keine Vernehmlassungen eingeholt hat und der Beschwerdegegner im Verfahren um aufschiebende Wirkung unterlegen ist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