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5A_529/2023 vom 17. Januar 2024</w:t>
      </w:r>
    </w:p>
    <w:p>
      <w:r>
        <w:t>Bundesgericht, 2024-01-17, FR</w:t>
      </w:r>
    </w:p>
    <w:p>
      <w:r>
        <w:rPr>
          <w:b/>
        </w:rPr>
        <w:t xml:space="preserve">Quelle: </w:t>
      </w:r>
      <w:r>
        <w:t>https://mcp.opencaselaw.ch/entscheid/bger_5A_529_2023</w:t>
      </w:r>
    </w:p>
    <w:p>
      <w:r>
        <w:t>FR: TF 5A_529/2023 du 17 janvier 2024</w:t>
      </w:r>
    </w:p>
    <w:p>
      <w:r>
        <w:t>IT: TF 5A_529/2023 del 17 gennaio 2024</w:t>
      </w:r>
    </w:p>
    <w:p>
      <w:pPr>
        <w:pStyle w:val="Heading2"/>
      </w:pPr>
      <w:r>
        <w:t>Erwägungen</w:t>
      </w:r>
    </w:p>
    <w:p>
      <w:r>
        <w:rPr>
          <w:b/>
        </w:rPr>
        <w:t>E. 1</w:t>
      </w:r>
    </w:p>
    <w:p>
      <w:r>
        <w:t>Le recours a été interjeté en temps utile ( art. 100 al. 1 LTF ) contre une décision finale ( art. 90 LTF ) rendue par une autorité supérieure statuant en dernière instance cantonale ( art. 75 al. 1 et 2 LTF ), dans une affaire civile (art. 72 al. 2 let. b ch. 5 LTF; art. 602 al. 3 CC ). La recourante a pris part à la procédure devant l'autorité précédente et n'a pas eu gain de cause sur l'ensemble de ses conclusions, de sorte qu'elle a intérêt à recourir, même si son intérêt pratique à la modification de la décision entreprise est sujet à caution ( art. 76 al. 1 LTF ).</w:t>
      </w:r>
    </w:p>
    <w:p>
      <w:r>
        <w:rPr>
          <w:b/>
        </w:rPr>
        <w:t>E. 2.1</w:t>
      </w:r>
    </w:p>
    <w:p>
      <w:r>
        <w:t>La désignation d'un représentant de la communauté héréditaire, partant la surveillance portant sur l'accomplissement de ce mandat ainsi que sa révocation, constituent des mesures de sûreté, dès lors des mesures provisionnelles au sens de l' art. 98 LTF (arrêts 5A_130/2020 du 28 septembre 2020 consid. 1.2; 5A_781/2017 du 20 décembre 2017 consid. 1.1). En conséquence,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3.1</w:t>
      </w:r>
    </w:p>
    <w:p>
      <w:r>
        <w:t>Le litige s'est limité à l'utilisation du bénéfice des deux sociétés, l'intimé reprochant, devant l'autorité cantonale, au représentant de l'hoirie d'avoir approuvé les comptes 2018 à 2020 alors que ceux-ci ne respectaient pas l'arrêt de la cour de justice du 20 février 2015, notamment au vu des dividendes distribués.</w:t>
      </w:r>
    </w:p>
    <w:p>
      <w:r>
        <w:t>La cour de justice a alors retenu qu'à teneur de l'arrêt précité, elle avait ordonné le blocage en mains de la régie de la moitié des revenus des immeubles propriétés des sociétés, correspondant aux revenus découlant des actions 26 à 50, qui demeuraient indivises. Elle a également retenu que, lors de sa prise de fonction en 2018, le représentant de la communauté héréditaire avait veillé à ce que la décision de la cour de justice soit appliquée et respectée. En particulier, ce n'était qu'après avoir reçu confirmation du réviseur aux comptes du fait que la moitié du dividende voté serait créditée et bloquée sur un compte courant de l'hoirie que le représentant avait accepté d'approuver les dividendes en question. L'autorité cantonale a en revanche considéré que la lecture des comptes ne permettait pas de vérifier que le blocage avait effectivement eu lieu. Concernant la société F.________ SA, chiffrant la moitié des bénéfices qui aurait dû être bloquée à 381'874 fr. en 2019 et à 427'838 fr. en 2020, elle a retenu que le compte "Régie" se montait à respectivement 264'355 fr. et 104'051 fr., soit des montants inférieurs aux sommes à bloquer, sans que d'autres liquidités fussent disponibles en suffisance. Concernant la société G.________ SA, elle a chiffré la moitié des bénéfices à bloquer à 409'855 fr. en 2019 et à 497'983 fr. en 2020, alors que le compte "Régie" se montait à respectivement 254'382 fr. et à 242'111 fr., sans que d'autres liquidités fussent disponibles en suffisance. L'autorité cantonale a aussi constaté que la recourante ne prétendait d'ailleurs pas que les sociétés auraient procédé au blocage des revenus liés aux actions indivises 26 à 50. A défaut d'autre élément, elle a ainsi établi qu'on ne pouvait retenir que le blocage ordonné par l'arrêt du 20 février 2015 et discuté lors des assemblées du 14 novembre 2018 avait été réalisé.</w:t>
      </w:r>
    </w:p>
    <w:p>
      <w:r>
        <w:t>Sur la base de ces éléments, l'autorité cantonale a jugé que, si le non-respect des décisions prises lors des assemblées générales et en particulier le fait que la part du dividende revenant aux actions indivises 26 à 50 n'avait pas été bloquée ne pouvait être imputable directement au représentant, il revenait néanmoins à ce dernier de s'assurer de la mise en oeuvre de cette mesure de blocage. Selon elle, le comportement du représentant de l'hoirie ne permettait toutefois pas de mettre en doute sa bonne foi ni ses compétences, compte tenu de la technicité comptable des questions qui lui incombaient et du contexte conflictuel, qui compliquait davantage l'exercice de son mandat. Les reproches adressés au représentant de l'hoirie n'étaient dès lors pas constitutifs d'erreurs suffisamment graves pour mettre en doute la confiance placée en lui, au point de prononcer sa révocation. En revanche, elle a néanmoins invité ledit représentant à s'assurer de la mise en oeuvre de la mesure de blocage prévue par l'arrêt du 20 février 2015, dans la limite de ses pouvoirs en tant que représentant des actions 26 à 50.</w:t>
      </w:r>
    </w:p>
    <w:p>
      <w:r>
        <w:rPr>
          <w:b/>
        </w:rPr>
        <w:t>E. 3.2.1</w:t>
      </w:r>
    </w:p>
    <w:p>
      <w:r>
        <w:t>La recourante reproche à l'autorité cantonale d'avoir rendu une décision arbitraire tant en droit qu'en fait, un examen superficiel du dossier l'ayant conduite à violer grossièrement de multiples principes légaux et comptables. Elle soutient en substance que cette autorité a fondé son calcul sur le résultat d'exploitation tel qu'il ressort du compte de pertes et profits, alors que seul est déterminant le bénéfice tel qu'il résulte du bilan. L'autorité cantonale a notamment fait totalement abstraction du paiement de l'impôt anticipé, soit 35% des dividendes, en considérant que des liquidités correspondant à la moitié des dividendes dûment bloquée devraient se trouver dans le compte "Régie" du bilan. La recourante ajoute qu'elle a dans tous les cas toujours pris soin de limiter ses prélèvements à la moitié des bénéfices ressortant des comptes de pertes et profits. Elle allègue encore que l'écart entre les liquidités sur le compte "Régie" et les bénéfices accumulés figurant au passif au titre de fonds propres remonte à l'époque où le père des parties jouissait seul des revenus des sociétés immobilières. Elle conclut que le blocage provisionnel a été scrupuleusement observé.</w:t>
      </w:r>
    </w:p>
    <w:p>
      <w:r>
        <w:rPr>
          <w:b/>
        </w:rPr>
        <w:t>E. 3.2.2</w:t>
      </w:r>
    </w:p>
    <w:p>
      <w:r>
        <w:t>En l'espèce, par son argumentation, dont les éléments essentiels reposent sur ses seuls allégués, la recourante ne démontre nullement l'arbitraire de l'arrêt attaqué. Tout d'abord, elle ne démontre pas l'arbitraire de la constatation selon laquelle elle n'a pour sa part même pas allégué que le blocage aurait eu lieu, se bornant à affirmer avoir prélevé la part des dividendes qui lui revenait en lien avec ses propres actions. Ensuite, contrairement à ce que soutient la recourante, l'autorité cantonale a vérifié si la moitié du bénéfice des sociétés avait été bloqué. Dans sa critique sur la distinction entre résultat ressortant du compte de pertes et profits et bénéfice tel qu'il résulte du bilan, la recourante n'expose pas en quoi le montant retenu par la cour ne met pas en oeuvre le dispositif de la décision de mesures provisionnelles du 25 février 2015 qui ordonne le blocage de "</w:t>
      </w:r>
    </w:p>
    <w:p>
      <w:r>
        <w:t>la moitié des revenus des immeubles " propriété des deux sociétés, ni que l'autorité cantonale n'aurait pas pris en compte le bénéfice résultant du bilan. La recourante n'articule du reste précisément aucun montant des dividendes qu'il conviendrait de bloquer et qu'elle aurait allégué et offert de prouver en procédure cantonale. Elle se borne à chiffrer le montant des dividendes qu'elle a prélevé. Or, ces prélèvements ne sont pas l'objet du litige. Enfin, la recourante n'expose pas non plus, en respectant les réquisits du principe d'allégation, le montant de l'impôt anticipé que les sociétés auraient effectivement déclaré et payé - alors que le versement des dividendes est bloqué - et qu'elle aurait allégué et offert de prouver devant l'instance cantonale. Elle se contente d'en alléguer le montant sur la base du taux légal.</w:t>
      </w:r>
    </w:p>
    <w:p>
      <w:r>
        <w:t>Il suit de là que le grief d'arbitraire doit être rejeté, dans la mesure de sa recevabilité.</w:t>
      </w:r>
    </w:p>
    <w:p>
      <w:r>
        <w:rPr>
          <w:b/>
        </w:rPr>
        <w:t>E. 4</w:t>
      </w:r>
    </w:p>
    <w:p>
      <w:r>
        <w:t>En définitive, le recours est rejeté, dans la mesure où il est recevable. Les frais judiciaires, arrêtés à 10'000 fr., sont mis à la charge de la recourante, qui succombe ( art. 66 al. 1 LTF ). Aucuns dépens ne sont dus, l'intimé n'ayant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