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528/2020 vom 3. Juli 2020</w:t>
      </w:r>
    </w:p>
    <w:p>
      <w:r>
        <w:t>Bundesgericht, 2020-07-03, DE</w:t>
      </w:r>
    </w:p>
    <w:p>
      <w:r>
        <w:rPr>
          <w:b/>
        </w:rPr>
        <w:t xml:space="preserve">Quelle: </w:t>
      </w:r>
      <w:r>
        <w:t>https://mcp.opencaselaw.ch/entscheid/bger_5A_528_2020</w:t>
      </w:r>
    </w:p>
    <w:p>
      <w:r>
        <w:t>FR: TF 5A 528/2020 du 3 juillet 2020</w:t>
      </w:r>
    </w:p>
    <w:p>
      <w:r>
        <w:t>IT: TF 5A 528/2020 del 3 luglio 2020</w:t>
      </w:r>
    </w:p>
    <w:p>
      <w:pPr>
        <w:pStyle w:val="Heading2"/>
      </w:pPr>
      <w:r>
        <w:t>Regeste</w:t>
      </w:r>
    </w:p>
    <w:p>
      <w:r>
        <w:t>Ehescheidung | Familienrecht</w:t>
      </w:r>
    </w:p>
    <w:p>
      <w:pPr>
        <w:pStyle w:val="Heading2"/>
      </w:pPr>
      <w:r>
        <w:t>Erwägungen</w:t>
      </w:r>
    </w:p>
    <w:p>
      <w:r>
        <w:rPr>
          <w:b/>
        </w:rPr>
        <w:t>E. 1</w:t>
      </w:r>
    </w:p>
    <w:p>
      <w:r>
        <w:t>Angefochten ist (primär) ein kantonal letztinstanzlicher Entscheid in einer Zivilsache; dagegen steht die Beschwerde in Zivilsachen offen ( Art. 72 Abs. 1, Art. 75 Abs. 1 und Art. 90 BGG ). Anfechtungsobjekt bilden kann jedoch nur dieser Entscheid. Auf die Beschwerde ist von vornherein nicht einzutreten, soweit verschiedene Behörden und der frühere Rechtsvertreter kritisiert werden.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Vorweg unterstellt der Beschwerdeführer sowohl dem Bezirks- wie auch dem Obergericht Voreingenommenheit und Parteilichkeit zugunsten der Gegenseite und die Absicht, bewusst seinen sozialen Abstieg herbeizuführen. Soweit es die Intention des Beschwerdeführers sein sollte, damit ein Ausstandsbegehren zu erheben, würde es an einem entsprechenden Rechtsbegehren fehlen. Ohnehin aber könnte ein Ausstandsbegehren nicht institutionell, d.h. gegen ein Gericht erhoben werden; vielmehr wären substanziiert vorgetragene Ausstandsgründe in Bezug auf konkrete Personen vorzubringen (vgl. BGE 105 Ib 301 E. 1a S. 302 f.; Urteile 1B_86/2011 vom 14. April 2011 E. 3.3.1; 2C_305/2011 vom 22. August 2011 E. 2.7; 5A_205/2017 vom 11. Mai 2017 E. 3).</w:t>
      </w:r>
    </w:p>
    <w:p>
      <w:r>
        <w:rPr>
          <w:b/>
        </w:rPr>
        <w:t>E. 4</w:t>
      </w:r>
    </w:p>
    <w:p>
      <w:r>
        <w:t>Im Übrigen besteht die Beschwerde zum grössten Teil aus Sachverhaltsschilderungen und Sachverhaltsbehauptungen aus eigener Sicht, welche der Sachverhaltsdarstellung im angefochtenen Entscheid in wesentlichen Teilen widersprechen. Wie in E. 2 festgehalten, kann jedoch Sachverhaltskritik nicht in appellatorischer Weise vorgetragen werden; vielmehr bedürfte es hierzu substanziierter Willkürrügen, an welchen es fehlt. Dies gilt auch für die appellatorische Kritik, das Obergericht habe die eingereichte Geburtsurkunde des Sohnes, bei welcher als Vater "unknown" eingetragen sei, unbeachtet gelassen. Appellatorisch ist ferner die Behauptung, der Gegenpartei seien gar keine Kosten oder Aufwendungen entstanden.</w:t>
      </w:r>
    </w:p>
    <w:p>
      <w:r>
        <w:rPr>
          <w:b/>
        </w:rPr>
        <w:t>E. 5</w:t>
      </w:r>
    </w:p>
    <w:p>
      <w:r>
        <w:t>In rechtlicher Hinsicht gehen die meisten Ausführungen an den Erwägungen des angefochtenen Entscheides vorbei. Das Obergericht hat den erstinstanzlichen Entscheid mit sehr ausführlichen Erwägungen geschützt. In Bezug auf die Ehe hat es kurz zusammengefasst erwogen, dass die Eheschliessung anerkennungsfähig sei, da es sich bei der eingereichten Heiratsurkunde um einen Auszug aus dem philippinischen Zivilstandsregister handle, während das Nichtigkeitsurteil des Regional Trial Court in Makati vom 9. November 2012 mangels gehöriger Ladung der Beschwerdegegnerin (Nichteinhaltung der erforderlichen Zustellungswege gemäss dem nach Art. 11 Abs. 4 IPRG anwendbaren HUe54) nicht anerkannt werden könne, woran auch die Eintragung im Zivilstandsregister nichts ändere. Sodann könne eine Ehe nur dann als ungültig erachtet werden, wenn sie nach allen Gültigkeitsstatuten von Amtes wegen für ungültig erklärt werden müsste. Gemäss schweizerischem Recht sei Bigamie ein Ungültigkeitsgrund, die Heilung aber möglich, wenn die erste Ehe aufgelöst oder für ungültig erklärt werde, was vorliegend der Fall sei, weil das die erste Ehe für nichtig erklärende Urteil des Regional Trial Court in Naga City vom 16. August 2004 anerkannt werden könne und keine Verweigerungsgründe im Sinn von Art. 27 IPRG ersichtlich seien. In Bezug auf das Kindesverhältnis hat das Obergericht zusammengefasst erwogen, die im Zusammenhang mit dem Eheschluss erfolgte Anerkennung des Kindes durch die Parteien sei in der Schweiz nicht anerkennungsfähig, weil zu jenem Zeitpunkt die erste Ehe noch gültig gewesen sei und damit der erste Ehemann D.________ als rechtlicher Vater gegolten habe. Hingegen sei die separate Erklärung des Beschwerdeführers vom 10. Februar 2003 als zulässig zu erachten. Allerdings sei im Urteil des Regional Trial Court in Naga City vom 26. Mai 2015 festgestellt worden, dass kein Kindesverhältnis bestehe. Indes sei höchst fraglich, ob dieses Urteil im Lichte von Art. 27 Abs. 2 lit. a IPRG in der Schweiz anerkannt werden könne, weil die Beschwerdegegnerin soweit ersichtlich keine Möglichkeit zur Partizipation in jenem Verfahren gehabt habe. Eine abschliessende Beurteilung erübrige sich insofern, als der Beschwerdeführer mit seinem Verhalten im Rahmen des Familiennachzugsverfahrens vor dem Migrationsamt bei der Beschwerdegegnerin und beim Kind das Vertrauen erweckt habe, er würde sich später nicht plötzlich auf die Ungültigkeit der Kindesanerkennung berufen. Mit all diesen (im angefochtenen Entscheid deutlich längeren) Erwägungen setzt sich der Beschwerdeführer nur am Rande auseinander. Konkret ist primär das Vorbringen, das Departement Volkswirtschaft und Inneres habe die Nichtigerklärung der Ehe anerkannt und ihm eine Personenstandsurkunde ausgestellt, wonach er ledig sei; diesbezüglich müsste er sich aber mit der obergerichtlichen Erwägung auseinandersetzen, wonach die Eintragung im Zivilstandsregister nur deklaratorisch und deshalb für die Frage der Anerkennbarkeit des philippinischen Urteils nicht entscheidend sei. Konkret ist auch das Vorbringen, die Beschwerdegegnerin habe von der Ladung zum Ehenichtigkeitsverfahren Kenntnis erhalten, wie sie bei der Befragung durch den Gerichtspräsidenten selbst zugegeben habe. Dies hat auch das Obergericht erwähnt; allerdings hat es erwogen, dass die Kenntnis und selbst die Einlassung unmassgeblich seien, wenn mit der direkten postalischen Zustellung der Ladung die vom HUe54 vorgeschriebenen Zustellwege missachtet worden seien. Hiermit müsste sich der Beschwerdeführer auseinandersetzen und eine Rechtsverletzung dartun. Was schliesslich das Kindesverhältnis anbelangt, gehen die Ausführungen zum philippinischen Urteil insoweit an den Erwägungen des Obergerichtes vorbei, als dieses befunden hat, eine abschliessende Beurteilung könne dahingestellt bleiben, weil der Beschwerdeführer im Rahmen des Familiennachzugsverfahrens begründetes Vertrauen geschaffen habe. Mit dieser Erwägung müsste sich der Beschwerdeführer auseinandersetzen. Er tut dies in ungenügender Weise, wenn er lediglich festhält, eine Aufenthaltsbewilligung ersetze weder einen Trauschein noch eine Geburtsurkunde.</w:t>
      </w:r>
    </w:p>
    <w:p>
      <w:r>
        <w:rPr>
          <w:b/>
        </w:rPr>
        <w:t>E. 6</w:t>
      </w:r>
    </w:p>
    <w:p>
      <w:r>
        <w:t>Nach dem Gesagten erweist sich die Beschwerde als offensichtlich nicht hinreichend begründet, weshalb auf sie im vereinfachten Verfahren nach Art. 108 Abs. 1 lit. b BGG nicht einzutreten ist.</w:t>
      </w:r>
    </w:p>
    <w:p>
      <w:r>
        <w:rPr>
          <w:b/>
        </w:rPr>
        <w:t>E. 7</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