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528/2019 vom 3. Juli 2019</w:t>
      </w:r>
    </w:p>
    <w:p>
      <w:r>
        <w:t>Bundesgericht, 2019-07-03, DE</w:t>
      </w:r>
    </w:p>
    <w:p>
      <w:r>
        <w:rPr>
          <w:b/>
        </w:rPr>
        <w:t xml:space="preserve">Quelle: </w:t>
      </w:r>
      <w:r>
        <w:t>https://mcp.opencaselaw.ch/entscheid/bger_5A_528_2019</w:t>
      </w:r>
    </w:p>
    <w:p>
      <w:r>
        <w:t>FR: TF 5A 528/2019 du 3 juillet 2019</w:t>
      </w:r>
    </w:p>
    <w:p>
      <w:r>
        <w:t>IT: TF 5A 528/2019 del 3 luglio 2019</w:t>
      </w:r>
    </w:p>
    <w:p>
      <w:pPr>
        <w:pStyle w:val="Heading2"/>
      </w:pPr>
      <w:r>
        <w:t>Regeste</w:t>
      </w:r>
    </w:p>
    <w:p>
      <w:r>
        <w:t>Vorsorglicher Entzug des Aufenthaltsbestimmungsrechts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der Beschwerdeführerin mangels einer genügenden Begründung nicht eingetreten. Streitgegenstand ist deshalb grundsätzlich nur die Frage, ob die Vorinstanz zu Recht einen Nichteintretensentscheid gefällt hat ( BGE 135 II 38 E. 1.2 S. 41).</w:t>
      </w:r>
    </w:p>
    <w:p>
      <w:r>
        <w:rPr>
          <w:b/>
        </w:rPr>
        <w:t>E. 2</w:t>
      </w:r>
    </w:p>
    <w:p>
      <w:r>
        <w:t>Darauf geht die Beschwerdeführerin mit keinem Wort ein und entsprechend bleibt die Beschwerde auch im bundesgerichtlichen Verfahren unbegründet ( Art. 42 Abs. 2 BGG ; BGE 140 III 115 E. 2 S. 116).</w:t>
      </w:r>
    </w:p>
    <w:p>
      <w:r>
        <w:rPr>
          <w:b/>
        </w:rPr>
        <w:t>E. 3</w:t>
      </w:r>
    </w:p>
    <w:p>
      <w:r>
        <w:t>Aufgrund des Gesagten ist auf die Beschwerde im vereinfachten Verfahren nach Art. 108 Abs. 1 lit. b BGG nicht einzutreten.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