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528/2018 vom 26. Juni 2018</w:t>
      </w:r>
    </w:p>
    <w:p>
      <w:r>
        <w:t>Bundesgericht, 2018-06-26, DE</w:t>
      </w:r>
    </w:p>
    <w:p>
      <w:r>
        <w:rPr>
          <w:b/>
        </w:rPr>
        <w:t xml:space="preserve">Quelle: </w:t>
      </w:r>
      <w:r>
        <w:t>https://mcp.opencaselaw.ch/entscheid/bger_5A_528_2018</w:t>
      </w:r>
    </w:p>
    <w:p>
      <w:r>
        <w:t>FR: TF 5A 528/2018 du 26 juin 2018</w:t>
      </w:r>
    </w:p>
    <w:p>
      <w:r>
        <w:t>IT: TF 5A 528/2018 del 26 giugno 2018</w:t>
      </w:r>
    </w:p>
    <w:p>
      <w:pPr>
        <w:pStyle w:val="Heading2"/>
      </w:pPr>
      <w:r>
        <w:t>Regeste</w:t>
      </w:r>
    </w:p>
    <w:p>
      <w:r>
        <w:t>Feststellung der Nichtigkeit einer Betreibung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weitergeleitete Eingabe genügt diesen Erfordernissen augenfällig nicht ansatzweise, weshalb offen bleiben kann, ob ihr überhaupt ein Beschwerdewille zugrunde liegt.</w:t>
      </w:r>
    </w:p>
    <w:p>
      <w:r>
        <w:rPr>
          <w:b/>
        </w:rPr>
        <w:t>E. 2</w:t>
      </w:r>
    </w:p>
    <w:p>
      <w:r>
        <w:t>Auf offensichtlich nicht hinreichend begründete Beschwerden ist im vereinfachten Verfahren mit einzelrichterlichem Entscheid nicht einzutreten ( Art. 108 Abs. 1 lit. b BGG ).</w:t>
      </w:r>
    </w:p>
    <w:p>
      <w:r>
        <w:rPr>
          <w:b/>
        </w:rPr>
        <w:t>E. 3</w:t>
      </w:r>
    </w:p>
    <w:p>
      <w:r>
        <w:t>Dieses Urteil wird den Parteien, dem Betreibungsamt Gossau und dem Kantonsgericht St. Gallen, obere Aufsichtsbehörde für Schuldbetreibung und Konkurs, schriftlich mitgeteilt. Lausanne, 26. Juni 2018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