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5A_528/2011 vom 26. Januar 2012</w:t>
      </w:r>
    </w:p>
    <w:p>
      <w:r>
        <w:t>Bundesgericht, 2012-01-26, FR</w:t>
      </w:r>
    </w:p>
    <w:p>
      <w:r>
        <w:rPr>
          <w:b/>
        </w:rPr>
        <w:t xml:space="preserve">Quelle: </w:t>
      </w:r>
      <w:r>
        <w:t>https://mcp.opencaselaw.ch/entscheid/bger_5A_528_2011</w:t>
      </w:r>
    </w:p>
    <w:p>
      <w:r>
        <w:t>FR: TF 5A_528/2011 du 26 janvier 2012</w:t>
      </w:r>
    </w:p>
    <w:p>
      <w:r>
        <w:t>IT: TF 5A_528/2011 del 26 gennaio 2012</w:t>
      </w:r>
    </w:p>
    <w:p>
      <w:pPr>
        <w:pStyle w:val="Heading2"/>
      </w:pPr>
      <w:r>
        <w:t>Erwägungen</w:t>
      </w:r>
    </w:p>
    <w:p>
      <w:r>
        <w:rPr>
          <w:b/>
        </w:rPr>
        <w:t>E. 1.1</w:t>
      </w:r>
    </w:p>
    <w:p>
      <w:r>
        <w:t>La décision de mesures protectrices de l'union conjugale ( art. 172 ss CC ) est une décision en matière civile ( art. 72 al. 1 LTF ). Elle est finale selon l' art. 90 LTF ( ATF 133 III 393 consid. 4). Le recours, qui porte sur la contribution d'entretien due à l'épouse, a pour objet une décision rendue dans une affaire pécuniaire, dont la valeur litigieuse atteint 30'000 fr. ( art. 74 al. 1 let. b LTF ). Il a en outre été déposé en temps utile ( art. 100 al. 1 LTF ), dans la forme prévue par la loi ( art. 42 LTF ), contre une décision prise par une autorité de dernière instance cantonale ( art. 75 LTF ). La recourante a par ailleurs pris part à la procédure devant l'autorité précédente et a un intérêt à la modification de la décision attaquée ( art. 76 al. 1 LTF ). Le recours en matière civile est donc en principe recevable.</w:t>
      </w:r>
    </w:p>
    <w:p>
      <w:r>
        <w:rPr>
          <w:b/>
        </w:rPr>
        <w:t>E. 1.2</w:t>
      </w:r>
    </w:p>
    <w:p>
      <w:r>
        <w:t>Comme l'arrêt attaqué porte sur des mesures provisionnelles au sens de l' art. 98 LTF ( ATF 133 III 393 consid. 5.1, 585 consid. 3.3), la partie recourante ne peut dénoncer que la violation de droits constitutionnels. Le Tribunal fédéral n'examine de tels griefs que s'ils ont été invoqués et motivés ( art. 106 al. 2 LTF ), à savoir expressément soulevés et exposés de manière claire et détaillée, conformément au principe d'allégation ( ATF 134 I 83 consid. 3.2; 134 II 349 consid. 3; 133 II 249 consid. 1.4.2; 133 III 393 consid. 6). Il n'entre pas en matière sur les critiques de nature appellatoire ( ATF 133 II 396 consid. 3).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L'arbitraire prohibé par l' art. 9 Cst. ne résulte pas du seul fait qu'une autre solution serait concevable, voire préférable. Il ne suffit pas que la motivation de la décision soit insoutenable; encore faut-il qu'elle se révèle arbitraire dans son résultat ( ATF 137 I 1 consid. 2.4; 136 I 316 consid. 2.2.2; 134 I 124 consid. 4.1 et les arrêts cités).</w:t>
      </w:r>
    </w:p>
    <w:p>
      <w:r>
        <w:rPr>
          <w:b/>
        </w:rPr>
        <w:t>E. 2</w:t>
      </w:r>
    </w:p>
    <w:p>
      <w:r>
        <w:t>La recourante se plaint d'établissement inexact des faits au sens de l' art. 97 al. 1 LTF .</w:t>
      </w:r>
    </w:p>
    <w:p>
      <w:r>
        <w:rPr>
          <w:b/>
        </w:rPr>
        <w:t>E. 2.1</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133 III 585 consid. 4.1). Toutefois, l'application de l' art. 9 Cst. aboutit pratiquement au même résultat: le Tribunal fédéral ne corrige les constatations de fait que si elles sont arbitraires et ont une influence sur le résultat de la décision (arrêts 5A_475/2011 du 12 décembre 2011 consid. 2.2; 5A_361/2011 du 7 décembre 2011 consid. 2.2).</w:t>
      </w:r>
    </w:p>
    <w:p>
      <w:r>
        <w:rPr>
          <w:b/>
        </w:rPr>
        <w:t>E. 2.2</w:t>
      </w:r>
    </w:p>
    <w:p>
      <w:r>
        <w:t>Dans la mesure où la recourante se réfère à un jugement du Tribunal de première instance du canton de Genève du 19 juillet 2005, déboutant l'intimé d'une action en cessation de trouble, ses allégations n'ont aucune incidence sur l'issue du litige, notamment en raison des considérations qui seront exposées ci-après (cf. infra, consid. 3). Tel est aussi le cas de ses précisions concernant la période pour laquelle «une contribution d'entretien reste due». De même, il importe peu que la Cour de justice ait mentionné, dans l'état de fait de l'arrêt attaqué, certains éléments du rapport de l'Hospice général sans en indiquer d'autres, en particulier le fait que la recourante ne détenait pas d'autres comptes bancaires que ceux dont elle était titulaire auprès de l'UBS et son absence d'imposition fiscale en 2003 et 2004, ces éléments n'étant pas déterminants pour apprécier si la recourante a la possibilité d'assurer elle-même son train de vie (cf. infra, consid. 4).</w:t>
      </w:r>
    </w:p>
    <w:p>
      <w:r>
        <w:t>Quant aux allégations de la recourante concernant, d'une part, le maintien de l'aide sociale en sa faveur et, d'autre part, le partage des successions de ses parents, elles seront examinées dans le cadre de son grief concernant sa situation financière (cf. infra, consid. 4).</w:t>
      </w:r>
    </w:p>
    <w:p>
      <w:r>
        <w:rPr>
          <w:b/>
        </w:rPr>
        <w:t>E. 3</w:t>
      </w:r>
    </w:p>
    <w:p>
      <w:r>
        <w:t>La recourante reproche en substance à la cour cantonale d'avoir arbitrairement considéré que l'union des parties, vu sa brièveté, n'avait pas exercé d'effets sur sa situation économique, alors qu'il est établi qu'avant le mariage, les époux ont vécu dix ans en concubinage et qu'elle était entretenue par l'intimé.</w:t>
      </w:r>
    </w:p>
    <w:p>
      <w:r>
        <w:rPr>
          <w:b/>
        </w:rPr>
        <w:t>E. 3.1</w:t>
      </w:r>
    </w:p>
    <w:p>
      <w:r>
        <w:t>Même lorsqu'on ne peut plus sérieusement compter sur une reprise de la vie commune, l' art. 163 CC demeure la cause de l'obligation d'entretien réciproque des époux en mesures protectrices de l'union conjugale, comme il l'est aussi en mesures provisionnelles prononcées pour la durée de la procédure de divorce ( ATF 137 III 385 consid. 3.1; 130 III 537 consid. 3.2). Pour fixer la contribution d'entretien, selon l' art. 176 al. 1 ch. 1 CC , le juge doit partir de la convention, expresse ou tacite, que les époux ont conclue au sujet de la répartition des tâches et des ressources entre eux. Il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ces faits nouveaux.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 ATF 137 III 385 consid. 3.1, précisant l' ATF 128 III 65 ).</w:t>
      </w:r>
    </w:p>
    <w:p>
      <w:r>
        <w:rPr>
          <w:b/>
        </w:rPr>
        <w:t>E. 3.2</w:t>
      </w:r>
    </w:p>
    <w:p>
      <w:r>
        <w:t>Vu les principes exposés ci-dessus, il importe peu que l'autorité cantonale ait considéré que le mariage n'avait pas eu d'impact décisif sur la situation financière de l'épouse, et cela malgré le concubinage antérieur, une éventuelle influence de celui-ci sur les conditions de vie de l'intéressée ne pouvant être prise en considération, toujours selon les juges précédents, qu'à partir d'octobre 2003, et l'épouse n'ayant pas renoncé à une activité professionnelle pour promouvoir la carrière de son conjoint ou s'impliquer dans l'éducation des enfants de celui-ci. Le moyen est donc sans pertinence.</w:t>
      </w:r>
    </w:p>
    <w:p>
      <w:r>
        <w:rPr>
          <w:b/>
        </w:rPr>
        <w:t>E. 4</w:t>
      </w:r>
    </w:p>
    <w:p>
      <w:r>
        <w:t>La recourante reproche en outre aux juges précédents d'avoir estimé, de manière arbitraire, qu'elle était en mesure de pourvoir elle-même à son entretien, faute pour elle d'avoir démontré le contraire.</w:t>
      </w:r>
    </w:p>
    <w:p>
      <w:r>
        <w:t>En revanche, elle ne prétend pas qu'en dépit de l'extrême brièveté de la vie commune durant le mariage et de l'absence d'espoir de reprise de celle-ci, l' art. 163 CC commandait le maintien du partage des tâches et des ressources entre les époux, à savoir son entretien par le mari, du moins en mesures protectrices (cf. supra, consid. 3.1). Cette question n'ayant pas été soulevée par la recourante, il n'y a pas lieu de se la poser (principe d'allégation; art. 106 al. 2 LTF ).</w:t>
      </w:r>
    </w:p>
    <w:p>
      <w:r>
        <w:rPr>
          <w:b/>
        </w:rPr>
        <w:t>E. 4.1</w:t>
      </w:r>
    </w:p>
    <w:p>
      <w:r>
        <w:t>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129 I 8 consid. 2.1). Sa retenue est d'autant plus grande lorsque, comme en l'espèce, le juge n'examine la cause que d'une manière sommaire et provisoire, avec administration restreinte des moyens de preuve et limitation du degré de la preuve à la simple vraisemblance ( ATF 130 III 321 consid. 3.3; 127 III 474 consid. 2b/bb).</w:t>
      </w:r>
    </w:p>
    <w:p>
      <w:r>
        <w:rPr>
          <w:b/>
        </w:rPr>
        <w:t>E. 4.2</w:t>
      </w:r>
    </w:p>
    <w:p>
      <w:r>
        <w:t>Selon la Cour de justice, le premier juge a relevé avec raison que l'épouse était parvenue à maintenir un train de vie de près de 6'000 fr. par mois (loyer: 3'285 fr. + charges: 215 fr.; assurance maladie: 354 fr.; base d'entretien: 1'200 fr.; golf: 289 fr.; voiture: 500 fr.), avec pour seul revenu une indemnité mensuelle de l'assistance publique de 2'343 fr. 80. Or, elle n'avait donné aucune explication au sujet de la révocation de cette indemnité, ni mentionné la provenance des autres ressources financières dont elle devait bénéficier pour assurer son budget. Elle ne s'était toutefois pas trouvée dans la nécessité de sous-louer certaines pièces de son appartement et n'avait dû emprunter une somme de 5'000 fr. que pour une très brève période. Ainsi, malgré la séparation des parties, l'épouse avait été en mesure de maintenir son train de vie, cela vraisemblablement grâce à la fortune perçue de l'héritage de ses parents et/ou aux revenus de celle-ci.</w:t>
      </w:r>
    </w:p>
    <w:p>
      <w:r>
        <w:t>Invoquant une attestation de l'Hospice général du 14 décembre 2010, la recourante soutient qu'elle est au bénéfice de prestations de l'aide sociale depuis le 1er août 2005 et que celles-ci n'ont pas été supprimées, contrairement à ce qui résulte de la décision du 26 octobre 2010 émanant non pas dudit Hospice, mais du Service de l'assurance-maladie (SAM) du canton de Genève: cet élément n'est pas décisif, la somme allouée par l'assistance publique ne lui permettant de toute façon pas de financer le train de vie qui a été arrêté comme étant le sien. Contrairement à l'opinion de la recourante, il importe moins de savoir si elle a touché indûment l'aide sociale que de déterminer par quels moyens elle parvient à s'assurer un niveau de vie de près de 6'000 fr. par mois. Pour les juges précédents, il est vraisemblable qu'elle dispose de ressources provenant des successions de ses parents, décédés en 1990 pour sa mère et en 1995 pour son père. La recourante le conteste, en s'appuyant sur des lettres d'un avocat iranien et de l'une de ses nièces, selon lesquelles le partage desdites successions n'a pas encore eu lieu, faute d'entente entre les héritiers. Fût-elle établie, cette allégation ne rend pas la décision attaquée arbitraire dans son résultat (notamment: ATF 137 I 1 précité). En effet, faute d'explications de la recourante concernant la façon dont elle assurait son train de vie, arrêté à près de 6'000 fr. par mois, il n'était pas insoutenable de retenir, à l'instar des juges précédents, qu'elle n'avait pas démontré ne pas être en mesure de pourvoir à son entretien. Au demeurant, il résulte de l'arrêt attaqué que la recourante, ressortissante suisse, est titulaire d'un diplôme d'analyste-programmeur et qu'elle a entrepris une formation de professeur de golf: or elle n'a pas allégué avoir effectué, en vain, des démarches pour trouver un emploi.</w:t>
      </w:r>
    </w:p>
    <w:p>
      <w:r>
        <w:rPr>
          <w:b/>
        </w:rPr>
        <w:t>E. 5</w:t>
      </w:r>
    </w:p>
    <w:p>
      <w:r>
        <w:t>En conclusion, le recours se révèle mal fondé et doit par conséquent être rejeté, aux frais de son auteur ( art. 66 al. 1 LTF ), qui versera en outre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