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5A_527/2011 vom 14. Dezember 2011</w:t>
      </w:r>
    </w:p>
    <w:p>
      <w:r>
        <w:t>Bundesgericht, 2011-12-14, FR</w:t>
      </w:r>
    </w:p>
    <w:p>
      <w:r>
        <w:rPr>
          <w:b/>
        </w:rPr>
        <w:t xml:space="preserve">Quelle: </w:t>
      </w:r>
      <w:r>
        <w:t>https://mcp.opencaselaw.ch/entscheid/bger_5A_527_2011</w:t>
      </w:r>
    </w:p>
    <w:p>
      <w:r>
        <w:t>FR: TF 5A_527/2011 du 14 décembre 2011</w:t>
      </w:r>
    </w:p>
    <w:p>
      <w:r>
        <w:t>IT: TF 5A_527/2011 del 14 dicembre 2011</w:t>
      </w:r>
    </w:p>
    <w:p>
      <w:pPr>
        <w:pStyle w:val="Heading2"/>
      </w:pPr>
      <w:r>
        <w:t>Erwägungen</w:t>
      </w:r>
    </w:p>
    <w:p>
      <w:r>
        <w:rPr>
          <w:b/>
        </w:rPr>
        <w:t>E. 1</w:t>
      </w:r>
    </w:p>
    <w:p>
      <w:r>
        <w:t>Le recours a été déposé à temps (art. 100 al. 1 et 46 al. 1 let. b LTF), par la partie qui a succombé dans ses conclusions devant l'instance précédente ( art. 76 LTF ); il est dirigé contre une décision finale ( art. 90 LTF ), prise en dernière instance cantonale et sur recours par un tribunal supérieur ( art. 75 LTF ), dans une contestation civile de nature pécuniaire, dont la cour cantonale admet que la valeur litigieuse atteint 30'000 fr. ( art. 74 al. 1 let. b LTF ), de sorte qu'il est recevable au regard de ces dispositions.</w:t>
      </w:r>
    </w:p>
    <w:p>
      <w:r>
        <w:rPr>
          <w:b/>
        </w:rPr>
        <w:t>E. 2</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(parmi plusieurs: ATF 134 III 102 consid. 1.1; 133 III 545 consid. 2.2).</w:t>
      </w:r>
    </w:p>
    <w:p>
      <w:r>
        <w:rPr>
          <w:b/>
        </w:rPr>
        <w:t>E. 3</w:t>
      </w:r>
    </w:p>
    <w:p>
      <w:r>
        <w:t>Le recourant a obtenu gain de cause en première instance, mais a vu sa demande rejetée par la Chambre des recours.</w:t>
      </w:r>
    </w:p>
    <w:p>
      <w:r>
        <w:rPr>
          <w:b/>
        </w:rPr>
        <w:t>E. 3.1.1</w:t>
      </w:r>
    </w:p>
    <w:p>
      <w:r>
        <w:t>Les deux instances cantonales ont convenu que le terme "bûcher" limitait le contenu des servitudes à l'entreposage de bois destiné à être brûlé. Une interprétation extensive dans le sens de "remise" ou d'"entrepôt" était exclue, les parties au contrat constitutif de servitude ayant choisi le terme de bûcher en 1990, alors qu'il était devenu peu courant.</w:t>
      </w:r>
    </w:p>
    <w:p>
      <w:r>
        <w:rPr>
          <w:b/>
        </w:rPr>
        <w:t>E. 3.1.2</w:t>
      </w:r>
    </w:p>
    <w:p>
      <w:r>
        <w:t>Le raisonnement des instances cantonales diffère néanmoins quant à la perte d'utilité éventuelle des servitudes pour les fonds dominants.</w:t>
      </w:r>
    </w:p>
    <w:p>
      <w:r>
        <w:rPr>
          <w:b/>
        </w:rPr>
        <w:t>E. 3.1.2.1</w:t>
      </w:r>
    </w:p>
    <w:p>
      <w:r>
        <w:t>Le premier juge a considéré que les servitudes litigieuses avaient initialement été constituées en raison de la présence d'un chauffage à bois dans les unités de propriété par étages bénéficiaires. Dans la mesure où les lots bénéficiaires avaient abandonné ce système de chauffage au profit du chauffage à distance de la centrale villageoise, le but originaire était ainsi devenu inutile. La présence de cheminées d'agrément n'était pas suffisante à elle seule pour justifier le maintien des servitudes, la nécessité d'un chauffage d'appoint n'était de plus pas établie, voire peu plausible, et une renaissance du but initial des servitudes paraissait enfin invraisemblable au vu de la technique et de l'existence de la centrale de chauffage. Il s'ensuivait que celles-ci devaient être radiées.</w:t>
      </w:r>
    </w:p>
    <w:p>
      <w:r>
        <w:rPr>
          <w:b/>
        </w:rPr>
        <w:t>E. 3.1.2.2</w:t>
      </w:r>
    </w:p>
    <w:p>
      <w:r>
        <w:t>La cour cantonale a en revanche considéré que la présence de cheminées d'agrément suffisait à justifier l'usage d'un bûcher pour stocker du bois durant la saison froide. En tant que les intimés affirmaient en faire une telle utilisation, elle a jugé qu'il appartenait au recourant de démontrer la disparition de l'intérêt allégué, qui apparaissait parfaitement plausible. Or, les moyens de preuves sollicités, à savoir le constat d'urgence et l'inspection locale, avaient été opérés en octobre, respectivement en septembre, et ne permettaient donc pas d'infirmer les déclarations des intimés. Au surplus, les juges cantonaux ont observé que l'on ne pouvait considérer que ces derniers n'auraient plus besoin, à l'avenir, d'un endroit où stocker du bois de chauffage: en sus du fait qu'ils disposaient de cheminées de salon, rien n'excluait qu'ils décident ultérieurement d'installer un chauffage central à bois, pour des raisons écologiques ou en vue de s'affranchir de la centrale communale. Ces circonstances permettaient ainsi de conclure que les conditions de l' art. 736 al. 1 CC n'étaient pas réalisées.</w:t>
      </w:r>
    </w:p>
    <w:p>
      <w:r>
        <w:t>Admettant certes que les locaux grevés n'étaient pas utilisés en tant que bûchers durant la période estivale, les juges cantonaux ne se sont toutefois pas prononcés sur cette problématique, considérant qu'elle concernait en réalité les modalités d'exercice de la servitude, réglées à l' art. 737 al. 2 CC .</w:t>
      </w:r>
    </w:p>
    <w:p>
      <w:r>
        <w:rPr>
          <w:b/>
        </w:rPr>
        <w:t>E. 3.2</w:t>
      </w:r>
    </w:p>
    <w:p>
      <w:r>
        <w:t>Le recourant soutient que les servitudes litigieuses auraient perdu toute utilité et reproche à la cour cantonale d'avoir violé les art. 736 al. 1 et 738 CC en refusant de le reconnaître. La juridiction cantonale aurait avant tout interprété de manière erronée l'étendue de la servitude de bûcher en admettant le caractère saisonnier de l'entreposage de bois. Les servitudes de bûchers serviraient en effet à permettre d'entreposer du bois dès le printemps afin qu'il sèche durant la belle saison et soit prêt à être brûlé l'hiver. Un entreposage limité à cette dernière saison démontrerait ainsi la disparition de l'utilité des servitudes litigieuses. Le recourant affirme qu'en réalité, il fallait retenir que les servitudes de bûcher avaient été constituées en 1990, alors que leurs bénéficiaires se chauffaient au bois; suite à l'installation de la centrale de chauffage villageoise en 1998/1999, une alimentation en bois individuelle n'était plus nécessaire et les servitudes en cause étaient ainsi devenues inutiles, la présence d'une cheminée dans les appartements situés sur les fonds dominants ne permettant pas de parvenir à une conclusion contraire. Quant à la renaissance éventuelle de l'utilité de la servitude par l'installation d'un chauffage au bois individuel, elle était fondée sur des considérations générales, qu'aucun élément probant ne confirmait.</w:t>
      </w:r>
    </w:p>
    <w:p>
      <w:r>
        <w:rPr>
          <w:b/>
        </w:rPr>
        <w:t>E. 4.1.1</w:t>
      </w:r>
    </w:p>
    <w:p>
      <w:r>
        <w:t>Selon l' art. 736 al. 1 CC , le propriétaire grevé peut exiger la radiation d'une servitude qui a perdu toute utilité pour le fonds dominant. D'après la jurisprudence, celle-ci se définit par l'intérêt du propriétaire de ce fonds à exercer la servitude conformément à son objet et à son contenu. A cet égard, il faut tenir compte du principe de l'identité de la servitude qui veut que celle-ci ne peut être maintenue dans un autre but que celui pour lequel elle a été constituée ( ATF 132 III 651 consid. 8; 130 III 554 consid. 2; 121 III 52 consid. 2a; 114 II 426 consid. 2a; arrêt 5C.126/2004 du 21 octobre 2004 consid. 2.2 publié in Revue du notariat et du registre foncier [RNRF] 2005 p. 307). Il convient ainsi de rechercher si l'usage de la servitude présente encore pour le propriétaire du fonds dominant, respectivement pour le titulaire de la servitude, un intérêt conforme à son but initial ( ATF 121 III 52 consid. 2a; 114 II 426 consid. 2a; arrêt 5C.126/2004 du 21 octobre 2004 consid. 2.2).</w:t>
      </w:r>
    </w:p>
    <w:p>
      <w:r>
        <w:rPr>
          <w:b/>
        </w:rPr>
        <w:t>E. 4.1.2</w:t>
      </w:r>
    </w:p>
    <w:p>
      <w:r>
        <w:t>Aux termes de l' art. 738 al. 1 CC ,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137 III 145 consid. 3.1; 132 III 651 consid. 8; 131 III 345 consid. 1; 130 III 554 consid. 3.1; 121 III 52 consid. 2a).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t>L'acte constitutif doit être interprété de la même manière que toute déclaration de volonté, à savoir, s'agissant d'un contrat, selon la réelle et commune intention des parties ( art. 18 CO ),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ATF 137 III 145 consid. 3.2.1; 132 III 268 consid. 2.3.2, 626 consid. 3.1). Ce dernier principe permet d'imputer à une partie le sens objectif de sa déclaration ou de son comportement, même si celui-ci ne correspond pas à sa volonté intime ( ATF 130 III 417 consid. 3.2; 129 III 118 consid. 2.5; 128 III 419 consid. 2.2).</w:t>
      </w:r>
    </w:p>
    <w:p>
      <w:r>
        <w:t>Vis-à-vis des tiers qui n'étaient pas parties au contrat constitutif de la servitude, ces principes d'interprétation sont toutefois limités par la foi publique attachée au registre foncier ( art. 973 CC ; ATF 137 III 145 consid. 3.2.2; 130 III 554 consid. 3), lequel comprend non seulement le grand livre, mais aussi les pièces justificatives, dans la mesure où elles précisent la portée de l'inscription ( art. 971 al. 2 CC repris par l' art. 738 al. 2 CC ; cf. PAUL-HENRI STEINAUER, Les droits réels, tome I, 4e éd. 2007, n. 934a; FABIENNE HOHL, Le contrôle de l'interprétation des servitudes par le Tribunal fédéral, RNRF 2009 73, 78).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et les réf. citées). Le résultat de l'interprétation objective devrait être ainsi le même que celui de l'interprétation subjective limitée par la foi publique (HOHL, op. cit., p. 80).</w:t>
      </w:r>
    </w:p>
    <w:p>
      <w:r>
        <w:rPr>
          <w:b/>
        </w:rPr>
        <w:t>E. 4.1.3</w:t>
      </w:r>
    </w:p>
    <w:p>
      <w:r>
        <w:t>En l'espèce, ni les recourants, ni les intimés n'étaient parties au contrat constitutif de servitude. Il s'ensuit que, pour déterminer l'objectif poursuivi par les servitudes, il faut se référer à l'inscription ainsi qu'aux pièces justificatives telles que les parties pouvaient les comprendre, de bonne foi, lors de l'acquisition de leurs biens-fonds respectifs en 1998.</w:t>
      </w:r>
    </w:p>
    <w:p>
      <w:r>
        <w:t>Le libellé de la servitude est inscrit au registre foncier sous le mot-clé "usage de bûcher", sans autre précision. Les modalités d'exercice de la servitude résultent des pièces justificatives nos 135'003, 135'004 et 135'005, qui, sous la rubrique "exercice", précisent que les servitudes permettent l'accès et l'usage d'un bûcher sis au rez-de-chaussée du bâtiment no 31 d'assurance-incendie, numéros 1, 2 et 3 figurés par une teinte orange au plan annexé. Au vu de la date à laquelle les servitudes ont été constituées, à savoir le 7 septembre 1990, il convient d'exclure une interprétation extensive du but des servitudes en cause permettant d'en déduire une fonction d'entrepôt ou de remise, mais d'en circonscrire l'objectif à la stricte définition du terme "bûcher", les constituants ayant expressément choisi ce dénominatif alors qu'il n'était plus usuel. Il faut en revanche admettre que l'existence de cheminées d'agrément autorisait les intimés à comprendre, de bonne foi, que les servitudes en cause permettaient l'entreposage de bûches nécessaires à l'alimentation de leur cheminée durant l'hiver. Des restrictions liées à l'usage initialement envisagé par les constituants - appartements avec chauffage à bois - et à l'évolution du mode de chauffage - raccordement à la centrale de chauffage - ne résultent en effet ni de l'inscription, ni de l'acte constitutif; elles sont donc inopposables aux intimés, le recourant ne prétendant ni n'établissant de surcroît leur mauvaise foi à cet égard.</w:t>
      </w:r>
    </w:p>
    <w:p>
      <w:r>
        <w:rPr>
          <w:b/>
        </w:rPr>
        <w:t>E. 4.2.1</w:t>
      </w:r>
    </w:p>
    <w:p>
      <w:r>
        <w:t>Le recourant soutient que les intimés n'entreposeraient pas de bois dans les bûchers, et ce même pendant la saison froide. A supposer en effet qu'ils en stockent, cette situation impliquerait qu'ils vident le matériel qui y est entreposé au début de l'hiver, de manière à y déposer du bois, pour ensuite l'y replacer au printemps. Seule une appréciation arbitraire des preuves permettrait de parvenir à une telle conclusion.</w:t>
      </w:r>
    </w:p>
    <w:p>
      <w:r>
        <w:t>La cour cantonale a certes reconnu qu'elle ignorait si les intimés entreposaient du bois dans les bûchers durant l'hiver. Elle a cependant considéré que le recourant n'avait pas infirmé l'intérêt allégué, pourtant plausible au vu de la présence de cheminée d'agrément dans les parts d'étages.</w:t>
      </w:r>
    </w:p>
    <w:p>
      <w:r>
        <w:rPr>
          <w:b/>
        </w:rPr>
        <w:t>E. 4.2.2</w:t>
      </w:r>
    </w:p>
    <w:p>
      <w:r>
        <w:t>En ce qui concerne l'appréciation des preuves et la constatation des faits, le Tribunal fédéral se montre réservé, vu le large pouvoir qu'il reconnaît en la matière aux autorités cantonales ( ATF 120 Ia 31 consid. 4b p. 40; 104 Ia 381 consid. 9 p. 399 et les arrêts cités).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134 V 53 consid. 4.3; 133 II 249 consid. 1.4.3; 129 I 8 consid. 2.1 et les références citées); encore faut-il que la correction du vice soit susceptible d'influer sur le sort de la cause.</w:t>
      </w:r>
    </w:p>
    <w:p>
      <w:r>
        <w:t>En tant que les intimés disposent de cheminées, il n'est nullement arbitraire de retenir qu'il est plausible, en se fondant sur leurs allégations, que, durant la période hivernale, ils entreposent du bois dans les locaux grevés. Les moyens de preuve sollicités par le recourant, administrés en automne, n'ont permis ni d'infirmer cette appréciation, ni d'apporter la preuve, qui lui incombait ( art. 8 CC ), que les intimés n'entreposaient pas de bois durant l'hiver et donc que la servitude aurait perdu son utilité. Pour démontrer le caractère prétendument arbitraire de l'appréciation cantonale, le recourant ne peut se limiter à dénier l'existence de l'intérêt allégué par sa partie adverse, sans apporter de preuve matérielle à l'appui de son affirmation.</w:t>
      </w:r>
    </w:p>
    <w:p>
      <w:r>
        <w:rPr>
          <w:b/>
        </w:rPr>
        <w:t>E. 4.3</w:t>
      </w:r>
    </w:p>
    <w:p>
      <w:r>
        <w:t>Il a été établi, par interprétation objective, que le but poursuivi par les servitudes en cause pouvait être compris comme autorisant les propriétaires des fonds dominants à entreposer du bois pour alimenter leurs cheminées d'agrément durant l'hiver. La question de savoir si, comme le prétend le recourant, une telle utilité, limitée à la saison froide, serait hors de proportion avec les charges imposées au fonds servant ( art. 736 al. 2 CC ), est dès lors dépourvue d'objet.</w:t>
      </w:r>
    </w:p>
    <w:p>
      <w:r>
        <w:rPr>
          <w:b/>
        </w:rPr>
        <w:t>E. 5</w:t>
      </w:r>
    </w:p>
    <w:p>
      <w:r>
        <w:t>Problématique demeure certes l'usage des bûchers en tant que remise, prépondérant selon les explications fournies par les intimés en instance cantonale. Cette utilisation ne répond manifestement pas au but des servitudes tel qu'il a été défini (consid. 4.1.3 supra) et en constitue ainsi un usage abusif, auquel le propriétaire grevé pourrait s'opposer par le biais de l'action négatoire ( art. 641 al. 2 CC ).</w:t>
      </w:r>
    </w:p>
    <w:p>
      <w:r>
        <w:rPr>
          <w:b/>
        </w:rPr>
        <w:t>E. 6</w:t>
      </w:r>
    </w:p>
    <w:p>
      <w:r>
        <w:t>En définitive, le recours doit être rejeté, aux frais de son auteur ( art. 66 al. 1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