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5A_527/2010 vom 1. Oktober 2010</w:t>
      </w:r>
    </w:p>
    <w:p>
      <w:r>
        <w:t>Bundesgericht, 2010-10-01, FR</w:t>
      </w:r>
    </w:p>
    <w:p>
      <w:r>
        <w:rPr>
          <w:b/>
        </w:rPr>
        <w:t xml:space="preserve">Quelle: </w:t>
      </w:r>
      <w:r>
        <w:t>https://mcp.opencaselaw.ch/entscheid/bger_5A_527_2010</w:t>
      </w:r>
    </w:p>
    <w:p>
      <w:r>
        <w:t>FR: TF 5A_527/2010 du 1 octobre 2010</w:t>
      </w:r>
    </w:p>
    <w:p>
      <w:r>
        <w:t>IT: TF 5A_527/2010 del 1 ottobre 2010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présent recours a été interjeté en temps utile (art. 44 al. 2, 46 al. 1 let. b et 100 al. 1 LTF) contre une décision sujette au recours en matière civile (art. 72 al. 2 let. b ch. 5 LTF) rendue par une juridiction cantonale de dernière instance ayant statué sur recours ( art. 75 LTF ); la valeur litigieuse atteint 30'000 fr. ( art. 74 al. 1 let. b LTF ), comme le constate d'ailleurs la décision attaquée ( art. 112 al. 1 let . d LTF); enfin, le recourant, qui a succombé devant l'autorité précédente, a qualité pour recourir ( art. 76 al. 1 LTF ).</w:t>
      </w:r>
    </w:p>
    <w:p>
      <w:r>
        <w:rPr>
          <w:b/>
        </w:rPr>
        <w:t>E. 1.2</w:t>
      </w:r>
    </w:p>
    <w:p>
      <w:r>
        <w:t>Contrairement à ce que soutient le recourant, la décision attaquée n'est pas finale ( art. 90 LTF ), mais incidente; en effet, la cour cantonale a renvoyé la cause à l'autorité inférieure pour complément d'instruction et nouveau jugement ( ATF 135 III 329 consid. 1.2). Une telle décision n'est susceptible de recours que si elle peut occasionner un préjudice irréparable ( art. 93 al. 1 let. a LTF ) - c'est-à-dire un préjudice juridique qu'un jugement sur le fond, même favorable au recourant, ne ferait pas disparaître entièrement (notamment: ATF 136 II 165 consid. 1.2.1; 135 II 30 consid. 1.3.4; 134 III 426 consid. 1.3.1, avec les arrêts cités) - ou si l'admission du recours peut conduire immédiatement à une décision finale qui permet d'éviter une procédure probatoire longue et coûteuse ( art. 93 al. 1 let. b LTF ), hypothèse qui n'est manifestement pas réalisée en l'espèce. En raison de son caractère accessoire, la décision sur les frais et dépens ne peut donner lieu à recours si la décision principale ne cause pas un préjudice irréparable ( ATF 133 V 645 consid. 2.1). La question de savoir si la condamnation du recourant à une amende de procédure est pour sa part finale peut demeurer indécise, faute de grief à cet égard ( art. 42 al. 2 LTF ).</w:t>
      </w:r>
    </w:p>
    <w:p>
      <w:r>
        <w:rPr>
          <w:b/>
        </w:rPr>
        <w:t>E. 1.3</w:t>
      </w:r>
    </w:p>
    <w:p>
      <w:r>
        <w:t>De jurisprudence constante, la décision de renvoi de la cause à la juridiction inférieure pour complément d'instruction et nouvelle décision n'entraîne, par principe, aucun préjudice irréparable (notamment: ATF 133 V 645 consid. 2.1 et les citations). En l'espèce, le recourant - qui part d'une fausse qualification de la décision attaquée - n'allègue pas ni, a fortiori, ne démontre (cf. ATF 134 III 426 consid. 1.2; 133 III 629 consid. 2.3.1) qu'il en irait autrement dans le cas présent.</w:t>
      </w:r>
    </w:p>
    <w:p>
      <w:r>
        <w:rPr>
          <w:b/>
        </w:rPr>
        <w:t>E. 1.4</w:t>
      </w:r>
    </w:p>
    <w:p>
      <w:r>
        <w:t>Il résulte de ce qui précède que le recours s'avère irrecevable. La question de savoir si les conclusions purement cassatoires prises par le recourant sont recevables peut dès lors rester indécise.</w:t>
      </w:r>
    </w:p>
    <w:p>
      <w:r>
        <w:rPr>
          <w:b/>
        </w:rPr>
        <w:t>E. 2</w:t>
      </w:r>
    </w:p>
    <w:p>
      <w:r>
        <w:t>Vu le sort du litige, les frais judiciaires incombent au recourant ( art. 66 al. 1 LTF ). Il n'est pas alloué de dépens à l'intimé, qui n'a pas été invité à se déterminer ( art. 68 al. 1 LTF ).</w:t>
      </w:r>
    </w:p>
    <w:p>
      <w:r>
        <w:t>Le recourant n'ayant pas élu de domicile de notification en Suisse, il n'y a pas lieu de lui notifier le présent arrêt en France (arrêt 5A_678/2008 du 8 décembre 2008); l'exemplaire qui lui est destiné est conservé au dossier, à sa disposition.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