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5A_526/2025 vom 7. August 2025</w:t>
      </w:r>
    </w:p>
    <w:p>
      <w:r>
        <w:t>Bundesgericht, 2025-08-07, DE</w:t>
      </w:r>
    </w:p>
    <w:p>
      <w:r>
        <w:rPr>
          <w:b/>
        </w:rPr>
        <w:t xml:space="preserve">Quelle: </w:t>
      </w:r>
      <w:r>
        <w:t>https://mcp.opencaselaw.ch/entscheid/bger_5A_526_2025</w:t>
      </w:r>
    </w:p>
    <w:p>
      <w:r>
        <w:t>FR: TF 5A_526/2025 du 7 août 2025</w:t>
      </w:r>
    </w:p>
    <w:p>
      <w:r>
        <w:t>IT: TF 5A_526/2025 del 7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 haben den zur Abholung avisierten angefochtenen Entscheid auf der Post nicht abgeholt und er gilt deshalb als am letzten Tag der 7-tägigen Abholungsfrist und somit am 27. Mai 2025 als zugestellt ( Art. 138 Abs. 3 lit. a ZPO ). Mithin begann die 30-tägige Beschwerdefrist ( Art. 100 Abs. 1 BGG ) am 28. Mai 2025 zu laufen ( Art. 44 Abs. 1 BGG ) und endete am 26. Juni 2025. Die erst am 30. Juni 2025 der Post übergebene Beschwerde ist folglich verspätet.</w:t>
      </w:r>
    </w:p>
    <w:p>
      <w:r>
        <w:rPr>
          <w:b/>
        </w:rPr>
        <w:t>E. 2</w:t>
      </w:r>
    </w:p>
    <w:p>
      <w:r>
        <w:t>Nach dem Gesagten erweist sich die Beschwerde als offensichtlich unzulässig, weshalb auf sie im vereinfachten Verfahren nach Art. 108 Abs. 1 lit. a BGG nicht einzutreten ist.</w:t>
      </w:r>
    </w:p>
    <w:p>
      <w:r>
        <w:rPr>
          <w:b/>
        </w:rPr>
        <w:t>E. 3</w:t>
      </w:r>
    </w:p>
    <w:p>
      <w:r>
        <w:t>Dieses Urteil wird den Beschwerdeführern, dem Beistand, dem Familiengericht Zurzach und dem Obergericht des Kantons Aargau, Kammer für Kindes- und Erwachsenenschutz, mitgeteilt. Lausanne, 7. August 2025 Im Namen der II. zivilrechtlichen Abteilung des Schweizerischen Bundesgerichts Das präsidierende Mitglied: Herrmann 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