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5A_526/2013 vom 28. März 2014</w:t>
      </w:r>
    </w:p>
    <w:p>
      <w:r>
        <w:t>Bundesgericht, 2014-03-28, FR</w:t>
      </w:r>
    </w:p>
    <w:p>
      <w:r>
        <w:rPr>
          <w:b/>
        </w:rPr>
        <w:t xml:space="preserve">Quelle: </w:t>
      </w:r>
      <w:r>
        <w:t>https://mcp.opencaselaw.ch/entscheid/bger_5A_526_2013</w:t>
      </w:r>
    </w:p>
    <w:p>
      <w:r>
        <w:t>FR: TF 5A_526/2013 du 28 mars 2014</w:t>
      </w:r>
    </w:p>
    <w:p>
      <w:r>
        <w:t>IT: TF 5A_526/2013 del 28 marzo 2014</w:t>
      </w:r>
    </w:p>
    <w:p>
      <w:pPr>
        <w:pStyle w:val="Heading2"/>
      </w:pPr>
      <w:r>
        <w:t>Erwägungen</w:t>
      </w:r>
    </w:p>
    <w:p>
      <w:r>
        <w:rPr>
          <w:b/>
        </w:rPr>
        <w:t>E. 1.1</w:t>
      </w:r>
    </w:p>
    <w:p>
      <w:r>
        <w:t>Interjeté en temps utile ( art. 100 al. 1 LTF ) par une recourante qui a succombé en dernière instance cantonale et sur recours ( art. 76 al. 1 LTF et art. 75 al. 1 LTF ), dans une affaire rendue en matière civile ( art. 72 al. 1 LTF ) dont la valeur litigieuse est supérieure à 30'000 fr. ( art. 74 al. 1 let. b LTF ), le recours en matière civile est en principe recevable.</w:t>
      </w:r>
    </w:p>
    <w:p>
      <w:r>
        <w:rPr>
          <w:b/>
        </w:rPr>
        <w:t>E. 1.2</w:t>
      </w:r>
    </w:p>
    <w:p>
      <w:r>
        <w:t>L'arrêt attaqué confirme la suspension de la procédure en complément du jugement de divorce jusqu'à droit jugé en France sur la question de la liquidation du régime matrimonial des parties. En tant qu'il admet l'exception de litispendance et suspend la cause en application de l' art. 9 LDIP , il devrait être qualifié de décision incidente sur la compétence du tribunal saisi ( ATF 138 III 190 consid. 5 p. 191; cf. sous l'ancien droit: ATF 123 III 414 consid. 2b p. 418), laquelle serait susceptible du recours séparé prévu par l' art. 92 al. 1 LTF (arrêt 4A_473/2012 du 23 janvier 2013 consid. 1). Dans la mesure où, conformément à l'art. 107 aLPC/GE, il suspend la procédure pour des motifs d'opportunité, soit dans l'attente " d'évènements de nature à influencer le sort de la cause ", il s'agirait d'une autre décision incidente au sens de l' art. 93 LTF ( ATF 137 III 522 consid. 1.2 p. 524 et l'arrêt cité) contre laquelle le recours immédiat ne serait ouvert qu'aux conditions fixées par cette disposition. Point n'est besoin d'examiner plus avant cette question de recevabilité, le recours devant de toute façon être déclaré irrecevable pour les raisons qui suivent.</w:t>
      </w:r>
    </w:p>
    <w:p>
      <w:r>
        <w:rPr>
          <w:b/>
        </w:rPr>
        <w:t>E. 2</w:t>
      </w:r>
    </w:p>
    <w:p>
      <w:r>
        <w:t>Comme il a été dit ci-devant, la Cour de justice a confirmé la suspension en se fondant tant sur l' art. 9 LDIP (exception de litispendance) que sur l'art. 107 aLPC/GE (suspension pour des motifs d'opportunité). Ce faisant, l'autorité cantonale a adopté une double motivation. La recourante ne s'en prend toutefois pas à chacun de ces motifs, comme l'exige la jurisprudence ( ATF 138 I 97 consid. 4.1.4 p. 100; ATF 133 IV 119 consid. 6.3 p. 120). Elle se contente en effet de se plaindre d'une violation de l' art. 9 LDIP , laissant intactes les considérations tirées de l'art. 107 aLPC/GE.</w:t>
      </w:r>
    </w:p>
    <w:p>
      <w:r>
        <w:rPr>
          <w:b/>
        </w:rPr>
        <w:t>E. 3</w:t>
      </w:r>
    </w:p>
    <w:p>
      <w:r>
        <w:t>Le recours étant d'emblée dénué de toute chance de succès, la requête d'assistance judiciaire doit être rejetée ( art. 64 al. 1 LTF ). La recourante,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