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525/2019 vom 27. September 2019</w:t>
      </w:r>
    </w:p>
    <w:p>
      <w:r>
        <w:t>Bundesgericht, 2019-09-27, FR</w:t>
      </w:r>
    </w:p>
    <w:p>
      <w:r>
        <w:rPr>
          <w:b/>
        </w:rPr>
        <w:t xml:space="preserve">Quelle: </w:t>
      </w:r>
      <w:r>
        <w:t>https://mcp.opencaselaw.ch/entscheid/bger_5A_525_2019</w:t>
      </w:r>
    </w:p>
    <w:p>
      <w:r>
        <w:t>FR: TF 5A 525/2019 du 27 septembre 2019</w:t>
      </w:r>
    </w:p>
    <w:p>
      <w:r>
        <w:t>IT: TF 5A 525/2019 del 27 settembre 2019</w:t>
      </w:r>
    </w:p>
    <w:p>
      <w:pPr>
        <w:pStyle w:val="Heading2"/>
      </w:pPr>
      <w:r>
        <w:t>Regeste</w:t>
      </w:r>
    </w:p>
    <w:p>
      <w:r>
        <w:t>mesures provisionnelles de divorce (entretien des enfants mineurs) | Droit de la famille</w:t>
      </w:r>
    </w:p>
    <w:p>
      <w:pPr>
        <w:pStyle w:val="Heading2"/>
      </w:pPr>
      <w:r>
        <w:t>Erwägungen</w:t>
      </w:r>
    </w:p>
    <w:p>
      <w:r>
        <w:rPr>
          <w:b/>
        </w:rPr>
        <w:t>E. 1</w:t>
      </w:r>
    </w:p>
    <w:p>
      <w:r>
        <w:t>Le recours a été déposé en temps utile ( art. 100 al. 1 LTF ) et dans la forme légale ( art. 42 al. 1 LTF ), contre une décision finale ( art. 90 LTF ; ATF 134 III 426 consid. 2.2) rendue sur recours par une autorité supérieure statuant en dernière instance cantonale ( art. 75 LTF ), dans une affaire matrimoniale ( art. 72 al. 1 LTF ) de nature pécuniaire, dont la valeur litigieuse dépasse 30'000 fr. (art. 51 al. 1 let. a, 51 al. 4 et 74 al. 1 let. b LTF), par une partie qui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Les critiques de nature appellatoire sont irrecevables ( ATF 142 III 364 consid. 2.4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les art. 95, 97 et 105 al. 2 LTF ne s'appliquant pas directement ( ATF 133 III 393 consid. 7.1 et 585 consid. 4.1). Le Tribunal fédéral n'examine ce grief que s'il a été invoqué et motivé par le recourant conformément au principe d'allégation susmentionné (supra consid. 2.1; ATF 136 II 489 consid. 2.8; 134 II 244 consid. 2.2; 130 I 26 consid. 2.1; 130 I 258 consid. 1.3). Le recourant ne peut pas se borner à contredire les constatations litigieuses par ses propres allégations ou par l'exposé de sa propre appréciation des preuves; il doit indiquer de façon précise en quoi ces constatations sont arbitraires au sens de l' art. 9 Cst. et sont susceptibles d'influer sur le sort de la cause. Une critique des faits qui ne satisfait pas à cette exigence est irrecevable ( art. 106 al. 2 LTF ; ATF 141 IV 249 consid. 1.3.1; 140 III 264 consid. 2.3 et les références).</w:t>
      </w:r>
    </w:p>
    <w:p>
      <w:r>
        <w:rPr>
          <w:b/>
        </w:rPr>
        <w:t>E. 2.3</w:t>
      </w:r>
    </w:p>
    <w:p>
      <w:r>
        <w:t>En l'espèce, le recourant indique que son recours "est formé pour violation du droit fédéral, en particulier les articles 285, 285a al. 2 et 3 et l'article 176 CC ( art. 95 let. a LTF ) ". Il ajoute que " la décision de l'autorité intimée est également contestée en tant que celle-ci constate les faits de manière manifestement inexacte et en violation du droit ( art. 97 LTF ) en particulier aussi en violation de l' art. 9 Cst. en tant qu'elle a omis sans raisons objectives de tenir compte des preuves pertinentes et qu'elle retient des charges pour enfant de manière discrétionnaire ". Ce faisant, il apparaît que le recourant s'est mépris sur la nature de la décision querellée et a, partant, omis que seuls les griefs d'ordre constitutionnel répondant aux exigences de motivation accrue découlant du principe d'allégation peuvent être examinés dans le cadre d'un recours soumis à l' art. 98 LTF . Les moyens (principaux) du recours tirés de la violation des art. 285, 285a et 176 CC , ainsi que de l' art. 301a CPC dont la violation est également invoquée, sont dès lors irrecevables. Le recours n'apparaît pas plus recevable en tant qu'il est dirigé contre la constatation et l'appréciation des faits opérées par la cour cantonale. Ainsi, lorsque le recourant prétend, en lien avec le budget des enfants dont certaines charges auraient été ajoutées " de manière discrétionnaire ", que, " au vu de [sa] motivation absconse, le jugement constate les faits de façon manifestement inexacte au sens de l'article 97 LTF et viole le droit, en particulier les articles 285 ss CC ", sa critique est vaine faute de tout grief de violation de l' art. 9 Cst. dûment invoqué et motivé. Le recourant se borne en effet à qualifier la décision entreprise de " critiquable " ou de " contestable " ou encore à affirmer péremptoirement, après avoir présenté, de manière purement appellatoire, sa propre vision des faits de la cause, que la cour cantonale aurait " outrepassé son pouvoir d'appréciation ". Le même constat s'impose à l'égard de la critique ayant trait à la charge fiscale des enfants. Là encore, le recourant n'invoque, ni a fortiori ne démontre, l'arbitraire au sens de l' art. 9 Cst. , affirmant simplement que la charge fiscale retenue " à tort " par la cour cantonale est " contraire au droit "; il n'indique de surcroît pas en quoi ce fait, prétendument constaté " de manière manifestement inexacte ", influerait sur le résultat de la cause quand bien même la décision de première instance, qui retenait une charge fiscale des enfants inférieure, a été confirmée. On ne discerne pas non plus en quoi l'arrêt attaqué souffrirait sur ce point d'un défaut de motivation, qui violerait le droit d'être entendu du recourant. Ce dernier a en effet manifestement été en mesure d'apprécier correctement la portée de la décision et de l'attaquer en connaissance de cause, ce d'autant que la cour cantonale n'a fait que suivre les arguments développés par l'intimée dans sa réponse à l'appel à laquelle le recourant a décidé de ne pas répliquer. Quoi qu'il en soit, contrairement aux exigences posées par la jurisprudence (parmi plusieurs: arrêts 4A_630/2018 du 17 juin 2019 consid. 7.1 et les références; 5A_37/2017 du 10 juillet 2017 consid. 3.1.1 et les références), le recourant n'expose pas quelle influence la prétendue violation du droit d'être entendu aurait pu avoir sur la procédure. Il ne le fait pas non plus lorsqu'il soulève une telle violation en reprochant à la cour cantonale de ne pas avoir arrêté, " malgré les modifications qu'elle entreprend ", le montant de l'entretien convenable de chacun des enfants. Au demeurant, la simple lecture de l'arrêt permet parfaitement de comprendre sur quels postes la Cour d'appel s'écarte, chiffres à l'appui, du calcul de l'entretien convenable des enfants arrêté par le premier juge. On ne voit dès lors pas en quoi l'arrêt attaqué serait arbitraire. Quoi qu'il en soit, la simple affirmation - erronée - que la cour cantonale aurait admis " sans autre[s] commentaires " que l'entretien convenable des enfants est supérieur à ce qui avait été retenu en première instance est insuffisante au regard des exigences découlant du principe d'allégation. La motivation du recours présente les mêmes carences en tant que le recourant reproche à la cour cantonale d'avoir commis l'arbitraire en omettant le fait qu'il est devenu le père d'un quatrième enfant, issu de sa relation avec sa nouvelle compagne. Enfin, lorsqu'il se plaint du fait que la cour cantonale n'a pas pris en compte les revenus dont aurait bénéficié l'intimée pour financer son immeuble, le recourant ne fait que répéter son argument avancé dans son mémoire d'appel (p. 5 et 10) sans aucunement discuter les motifs retenus dans l'arrêt attaqué pour l'écarter (arrêt attaqué, p. 10). Un tel procédé n'est pas admissible (cf. supra consid. 2.1).</w:t>
      </w:r>
    </w:p>
    <w:p>
      <w:r>
        <w:rPr>
          <w:b/>
        </w:rPr>
        <w:t>E. 3</w:t>
      </w:r>
    </w:p>
    <w:p>
      <w:r>
        <w:t>En définitive, le recours se révèle entièrement irrecevable, aux frais de son auteur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