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525/2010 vom 31. August 2010</w:t>
      </w:r>
    </w:p>
    <w:p>
      <w:r>
        <w:t>Bundesgericht, 2010-08-31, FR</w:t>
      </w:r>
    </w:p>
    <w:p>
      <w:r>
        <w:rPr>
          <w:b/>
        </w:rPr>
        <w:t xml:space="preserve">Quelle: </w:t>
      </w:r>
      <w:r>
        <w:t>https://mcp.opencaselaw.ch/entscheid/bger_5A_525_2010</w:t>
      </w:r>
    </w:p>
    <w:p>
      <w:r>
        <w:t>FR: TF 5A 525/2010 du 31 août 2010</w:t>
      </w:r>
    </w:p>
    <w:p>
      <w:r>
        <w:t>IT: TF 5A 525/2010 del 31 agosto 2010</w:t>
      </w:r>
    </w:p>
    <w:p>
      <w:pPr>
        <w:pStyle w:val="Heading2"/>
      </w:pPr>
      <w:r>
        <w:t>Regeste</w:t>
      </w:r>
    </w:p>
    <w:p>
      <w:r>
        <w:t>modification de l'inventaire (faillite) | Droit des poursuites et faillites</w:t>
      </w:r>
    </w:p>
    <w:p>
      <w:pPr>
        <w:pStyle w:val="Heading2"/>
      </w:pPr>
      <w:r>
        <w:t>Erwägungen</w:t>
      </w:r>
    </w:p>
    <w:p>
      <w:r>
        <w:rPr>
          <w:b/>
        </w:rPr>
        <w:t>E. 1.1</w:t>
      </w:r>
    </w:p>
    <w:p>
      <w:r>
        <w:t>Interjeté dans le délai ( art. 100 al. 2 let. a LTF ) et la forme ( art. 42 LTF ) prévus par la loi par des parties qui ont succombé dans leurs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indépendamment de la valeur litigieuse ( art. 74 al. 2 let . c LTF).</w:t>
      </w:r>
    </w:p>
    <w:p>
      <w:r>
        <w:rPr>
          <w:b/>
        </w:rPr>
        <w:t>E. 1.2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En outre, il applique le droit d'office ( art. 106 al. 1 LTF ) et n'est lié ni par les motifs invoqués par les parties ni par l'argumentation juridique retenue par l'autorité cantonale (cf. ATF 130 III 297 consid. 3.1); il peut donc admettre le recours pour d'autres motifs que ceux invoqués par le recourant, comme il peut le rejeter en opérant une substitution de motifs ( ATF 130 III 136 consid. 1.4 in fine). Toutefois, compte tenu de l'obligation de motiver qui incombe au recourant en vertu de l' art. 42 al. 2 LTF , qui correspond à celle de l' art. 55 al. 1 let . c OJ ( ATF 133 IV 286 consid. 1.4), il n'examine pas toutes les questions juridiques qui peuvent se poser, mais seulement celles qui sont soulevées devant lui ( ATF 133 III 545 consid. 2.2).</w:t>
      </w:r>
    </w:p>
    <w:p>
      <w:r>
        <w:rPr>
          <w:b/>
        </w:rPr>
        <w:t>E. 2</w:t>
      </w:r>
    </w:p>
    <w:p>
      <w:r>
        <w:t>L' art. 269 al. 1 LP prévoit que lorsque, la faillite clôturée, l'on découvre des biens qui ont échappé à la liquidation, l'office en prend possession, les réalise et en distribue le produit sans autre formalité entre les créanciers perdants, suivant leur rang. Selon la jurisprudence, cette procédure de réalisation et de répartition après clôture de la faillite (Nachkonkurs) ne s'applique pas aux biens dont l'existence et l'appartenance à la masse étaient connues de l'administration de la faillite et des créanciers avant la clôture de la faillite et que la masse s'est abstenue de faire valoir ( ATF 116 III 96 consid. 2a et les arrêts cités). En l'espèce, l'office n'a pas inventorié une prétention de la masse contre D.________ SA, comme demandé, mais contre E.________ SA. Le fait que l'organe de révision avait été D.________ SA jusqu'au 2 juillet 2004, puis E.________ SA dès cette date était notoire puisque résultant du registre du commerce, publication accessible à tout un chacun (cf. arrêt 5A_62/2009 du 2 juillet 2009 consid. 2.1). Ni l'office ni les recourants n'ont donc pu l'ignorer et il n'a pas pu échapper à ces derniers, à réception de la circulaire aux créanciers du 13 mars 2006 et de la décision de cession du 20 septembre 2006 qui toutes deux mentionnaient E.________ SA, que la prétention inventoriée et cédée ne correspondait pas à celle qui avait été formulée le 2 mars 2005. La prétention contre D.________ SA était donc connue des intéressés avant la clôture de la faillite et si la masse s'est abstenue de la faire valoir malgré des indices suffisants de son existence, il faut présumer qu'elle y a sciemment renoncé (cf. ATF 116 III 96 consid. 2a). Il s'ensuit que, conformément à cette jurisprudence, l' art. 269 LP n'était pas applicable. Par conséquent, c'est en vain que les recourants invoquent la violation de cette disposition.</w:t>
      </w:r>
    </w:p>
    <w:p>
      <w:r>
        <w:rPr>
          <w:b/>
        </w:rPr>
        <w:t>E. 3</w:t>
      </w:r>
    </w:p>
    <w:p>
      <w:r>
        <w:t>A réception des décisions de l'office prises sur la base de l' art. 260 LP , soit de la circulaire aux créanciers du 13 mars 2006 et de l'acte de cession du 20 septembre 2006, les recourants auraient pu aussitôt requérir l'office de faire la rectification nécessaire et saisir l'autorité cantonale de surveillance d'une plainte dans le délai péremptoire de dix jours prévu par l' art. 17 al. 2 LP . Dites décisions sont devenues définitives faute d'avoir fait l'objet d'une telle contestation en temps utile et l'erreur qui les affectait n'était pas de nature à les frapper de nullité absolue au sens de l' art. 22 LP , nullité qui n'est d'ailleurs plus invocable si la poursuite est close et le produit de la vente réalisé (Jaeger/Walder/Kull/Kottmann, Bundesgesetz über Schuldbetreibung und Konkurs, 4e éd., n. 11 ad art. 22 LP ; Pauline Erard, Commentaire romand de la LP, n. 16 ad art. 22 LP ). Ayant été en mesure de faire corriger l'erreur en question en temps utile, les recourants sont en outre censés avoir renoncé à s'en prévaloir (cf. arrêt 7B.158/2005 du 11 novembre 2005 consid. 4). C'est donc à bon droit que la décision attaquée retient qu'en ne réagissant que le 26 avril 2010, soit près de trois ans après le début de la procédure judiciaire [deux ans après la clôture de la faillite], les recourants ont fait preuve d'une négligence incompréhensible qui doit leur être imputée. L'attitude consistant à laisser se continuer une procédure - de faillite en l'occurrence - entachée d'une irrégularité pour ne se prévaloir de celle-ci qu'après coup seulement est en effet contraire aux règles de la bonne foi et ne mérite aucune protection (cf. arrêt 7B.158/2005 déjà cité; ATF 119 II 386 consid. 1a). Le grief de violation du principe de la bonne foi est donc infondé.</w:t>
      </w:r>
    </w:p>
    <w:p>
      <w:r>
        <w:rPr>
          <w:b/>
        </w:rPr>
        <w:t>E. 4</w:t>
      </w:r>
    </w:p>
    <w:p>
      <w:r>
        <w:t>Il résulte de ce qui précède que le recours doit être rejeté, aux frais de ses auteurs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