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524/2023 vom 14. Dezember 2023</w:t>
      </w:r>
    </w:p>
    <w:p>
      <w:r>
        <w:t>Bundesgericht, 2023-12-14, FR</w:t>
      </w:r>
    </w:p>
    <w:p>
      <w:r>
        <w:rPr>
          <w:b/>
        </w:rPr>
        <w:t xml:space="preserve">Quelle: </w:t>
      </w:r>
      <w:r>
        <w:t>https://mcp.opencaselaw.ch/entscheid/bger_5A_524_2023</w:t>
      </w:r>
    </w:p>
    <w:p>
      <w:r>
        <w:t>FR: TF 5A 524/2023 du 14 décembre 2023</w:t>
      </w:r>
    </w:p>
    <w:p>
      <w:r>
        <w:t>IT: TF 5A 524/2023 del 14 dicembre 2023</w:t>
      </w:r>
    </w:p>
    <w:p>
      <w:pPr>
        <w:pStyle w:val="Heading2"/>
      </w:pPr>
      <w:r>
        <w:t>Regeste</w:t>
      </w:r>
    </w:p>
    <w:p>
      <w:r>
        <w:t>servitude, irrecevabilité de l'appel | Droits réels</w:t>
      </w:r>
    </w:p>
    <w:p>
      <w:pPr>
        <w:pStyle w:val="Heading2"/>
      </w:pPr>
      <w:r>
        <w:t>Erwägungen</w:t>
      </w:r>
    </w:p>
    <w:p>
      <w:r>
        <w:rPr>
          <w:b/>
        </w:rPr>
        <w:t>E. 1.1</w:t>
      </w:r>
    </w:p>
    <w:p>
      <w:r>
        <w:t>Le recours est dirigé contre une décision finale ( art. 90 LTF ), rendue en matière civile ( art. 72 LTF ) par un tribunal supérieur statuant sur recours ( art. 75 LTF ), dans une contestation de nature pécuniaire, dont la valeur litigieuse atteint 30'000 fr. ( art. 74 al. 1 let. b LTF ); il a par ailleurs été déposé à temps ( art. 100 al. 1 LTF ), par les parties qui ont succombé dans leurs conclusions devant l'instance précédente ( art. 76 LTF ). Le recours en matière civile est donc en principe recevable au regard des dispositions qui précèdent.</w:t>
      </w:r>
    </w:p>
    <w:p>
      <w:r>
        <w:rPr>
          <w:b/>
        </w:rPr>
        <w:t>E. 1.2</w:t>
      </w:r>
    </w:p>
    <w:p>
      <w:r>
        <w:t>Seules les conclusions en annulation et en renvoi prises à titre principal par les recourants devant le Tribunal fédéral sont recevables. En effet, des conclusions sur le fond du litige ne sont en principe pas admissibles contre une décision d'irrecevabilité ( ATF 143 I 344 consid. 4; parmi plusieurs: arrêt 5A_365/2022 du 3 mai 2023 consid. 1.3). La raison en est que, sauf exceptions non réalisées en l'espèce, le Tribunal fédéral vérifie dans une telle situation uniquement si c'est à bon droit que l'instance précédente n'est pas entrée en matière sur le recours interjeté; il n'examine donc pas le fond de la contestation ( ATF 137 II 313 consid. 1.3; arrêt 5A_483/2022 du 7 septembre 2022 consid. 1.3). En cas d'admission du recours, il ne réforme pas la décision attaquée mais l'annule et renvoie la cause à l'autorité précédente pour qu'elle entre en matière sur le recours ou l'appel ( ATF 147 III 98 consid. 4.7; 144 II 376 consid. 6.1; 140 III 234 consid. 3.2.3; 138 III 46 consid. 1.2 et les références).</w:t>
      </w:r>
    </w:p>
    <w:p>
      <w:r>
        <w:rPr>
          <w:b/>
        </w:rPr>
        <w:t>E. 2.1.1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146 IV 114 consid. 2.1; 144 II 313 consid. 5.1).</w:t>
      </w:r>
    </w:p>
    <w:p>
      <w:r>
        <w:rPr>
          <w:b/>
        </w:rPr>
        <w:t>E. 2.1.2</w:t>
      </w:r>
    </w:p>
    <w:p>
      <w:r>
        <w:t>Lorsque la décision attaquée est une décision d'irrecevabilité, les motifs développés dans le mémoire de recours doivent porter sur la question de la recevabilité traitée par l'autorité précédente à l'exclusion du fond du litige ( ATF 123 V 335 consid. 1b; parmi plusieurs: arrêt 5A_365/2022 précité consid. 2.1.2 et les arrêts cités). En l'espèce, il ne sera pas tenu compte des chapitres B, C et D du recours (p. 4-8) consacrés au fond du litige. Contrairement à ce qu'affirment péremptoirement les recourants, le Tribunal de céans ne saurait " entrer en matière à la place de l'autorité cantonale sur la question de savoir s'il est possible d'acquérir par prescription acquisitive dans le canton de Fribourg " (cf. aussi supra consid. 1.2).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w:t>
      </w:r>
    </w:p>
    <w:p>
      <w:r>
        <w:rPr>
          <w:b/>
        </w:rPr>
        <w:t>E. 3</w:t>
      </w:r>
    </w:p>
    <w:p>
      <w:r>
        <w:t>Les recourants se plaignent d'une violation de l'art. 311 [al. 1] CPC ainsi que de l'art. 29 [al. 1] Cst. qui prohibe le formalisme excessif.</w:t>
      </w:r>
    </w:p>
    <w:p>
      <w:r>
        <w:rPr>
          <w:b/>
        </w:rPr>
        <w:t>E. 3.1</w:t>
      </w:r>
    </w:p>
    <w:p>
      <w:r>
        <w:t>La cour cantonale a constaté que le Tribunal civil avait rejeté la demande des appelants avec une triple motivation. Il avait retenu en premier lieu que les principes développés dans l' ATF 114 II 318 excluaient toute acquisition d'une servitude par prescription acquisitive extraordinaire dans le canton de Fribourg. En deuxième lieu, il avait jugé que les conditions de l' art. 662 al. 1 CC , applicable par renvoi de l' art. 731 al. 3 CC , n'étaient pas réunies, au motif que les appelants n'avaient pas réussi à prouver qu'eux-mêmes et les propriétaires précédents avaient exercé le droit dont ils revendiquent l'inscription sans interruption durant trente ans. Les premiers juges avaient enfin estimé, en troisième et dernier lieu, que D.________ avait, quoi qu'il en soit, renoncé au droit revendiqué par les appelants et que ce droit n'existait plus au moment de l'achat des immeubles par les appelants. La cour cantonale a considéré que chacune de ces trois motivations présentées par le Tribunal civil dans son jugement était suffisante à elle seule pour fonder le rejet de la demande. Elle a ensuite constaté que, dans leur mémoire d'appel, les appelants formulaient des critiques quant à l'application de l'ATF 114 précité par les premiers juges (mémoire d'appel, p. 4 ss) et qu'ils faisaient également grief à ceux-ci de ne pas avoir considéré que la possession du droit litigieux avait duré plus de trente ans (mémoire d'appel, p. 8 ss). En revanche, le mémoire d'appel ne contenait aucune critique sur la motivation du Tribunal civil portant sur la renonciation du droit litigieux faite par D.________. Or, les appelants devaient critiquer cette troisième et dernière motivation des premiers juges pour respecter les exigences de motivation prescrites par l' art. 311 al. 1 CPC . La cour cantonale a déduit de cette absence d'argumentation relative à la troisième raison pour laquelle le Tribunal civil avait rejeté la demande l'irrecevabilité de l'appel.</w:t>
      </w:r>
    </w:p>
    <w:p>
      <w:r>
        <w:rPr>
          <w:b/>
        </w:rPr>
        <w:t>E. 3.2</w:t>
      </w:r>
    </w:p>
    <w:p>
      <w:r>
        <w:t>Les recourants reprochent à la cour cantonale d'avoir retenu que la troisième motivation des premiers juges pouvait sceller le sort du litige. Ils considèrent que celle-ci est " irrelevante " (sic), dès lors que " [l]e fait d'aborner n'a pas de rapport avec la question de la prescription acquisitive " (sic). Selon eux, seules deux questions juridiques devaient être discutées en l'espèce, soit, d'une part, que les demandeurs ou les pré-possesseurs avaient joui de la parcelle litigieuse pendant plus de 30 ans et, d'autre part, que ce délai n'avait pas été interrompu pendant ce laps de temps. " S'agissant de deux seules motivations ", l'appel était recevable et, par conséquent, le Tribunal cantonal aurait dû entrer en matière.</w:t>
      </w:r>
    </w:p>
    <w:p>
      <w:r>
        <w:rPr>
          <w:b/>
        </w:rPr>
        <w:t>E. 3.3.1</w:t>
      </w:r>
    </w:p>
    <w:p>
      <w:r>
        <w:t>Pour satisfaire à son obligation de motivation de l'appel prévue à l' art. 311 al. 1 CPC ,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 ATF 141 III 569 consid. 2.3.3; vvv III 374 consid. 4.3.1). Même si l'instance d'appel applique le droit d'office ( art. 57 CPC ),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 ATF 147 III 176 consid. 4.2.1; parmi plusieurs: arrêts 4A_462/2022 du 6 mars 2023 consid. 5.1.1, publié in RSPC 2023 p. 268; 5A_453/2022 du 13 décembre 2022 consid. 3.1). Il est de jurisprudence que si une décision comporte une double motivation ( i.e. deux motivations indépendantes, alternatives ou subsidiaires), il incombe au recourant, sous peine d'irrecevabilité, de démontrer que chacune d'elles est contraire au droit (en application de l' art. 42 LTF , cf. ATF 138 III 728 consid. 3.4; 136 III 534 consid. 2). Cette jurisprudence trouve également application sous l'empire du CPC (cf. art. 311 CPC ; arrêts 4D_9/2021 du 19 août 2021 consid. 3.3.1; 4A_614/2018 du 8 octobre 2019 consid. 3.2; 4A_90/2017 du 12 mai 2017; 4A_525/2014 du 5 mai 2014 consid. 3). On ne peut parler de double motivation que si chacun de ses pans suffit à sceller le sort de la cause (arrêts 4D_9/2021 précité loc. cit.; 4A_614/2018 précité loc. cit.). Il n'y a en revanche pas de double motivation lorsque la première motivation scelle le sort du litige, mais que la seconde, qui se fonde sur un critère erroné, est en soi impropre à sceller le sort de la cause; le fait que l'appelant n'a contesté que la première motivation ne fait dès lors pas obstacle à la recevabilité de l'appel (arrêt 4A_614/2018 précité consid. 3.3).</w:t>
      </w:r>
    </w:p>
    <w:p>
      <w:r>
        <w:rPr>
          <w:b/>
        </w:rPr>
        <w:t>E. 3.3.2</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et les arrêts cités). Selon la jurisprudence, l'exigence d'une motivation minimale ne saurait constituer une violation du droit d'être entendu ou de l'interdiction du formalisme excessif ( ATF 134 II 244 consid. 2.4.2 et les arrêts cités; parmi plusieurs: arrêt 5A_779/2021 du 16 décembre 2022 consid. 4.3.1 et l'arrêt cité).</w:t>
      </w:r>
    </w:p>
    <w:p>
      <w:r>
        <w:rPr>
          <w:b/>
        </w:rPr>
        <w:t>E. 3.4</w:t>
      </w:r>
    </w:p>
    <w:p>
      <w:r>
        <w:t>En l'espèce, comme l'a correctement constaté la cour cantonale, il apparaît que les premiers juges ont rejeté la demande des recourants pour trois motifs distincts. Les recourants considèrent, pour une raison au demeurant difficilement compréhensible, que le troisième motif ne serait pas pertinent et, partant, impropre à sceller le sort de la cause, respectivement à justifier le rejet des conclusions de leur demande. Ils contestent donc, en substance, le caractère alternatif et indépendant de la troisième motivation présentée dans le jugement de première instance, ce qui, selon eux, les dispensait de l'attaquer devant l'instance cantonale. Ce point de vue ne convainc pas. A l'instar de la cour cantonale, force est d'admettre que le (troisième) motif des premiers juges ayant trait à la volonté de D.________, alors seule propriétaire de tous les immeubles en cause, de renoncer à l'éventuelle servitude non inscrite en faveur de l'immeuble art. xxx, respectivement de la supprimer, constitue clairement un motif indépendant de ceux relatifs aux conditions de l'acquisition d'une servitude par prescription acquisitive extraordinaire (art. 662 al. 1 cum art. 731 al. 3 CC ), suffisant à lui seul à sceller le sort de la cause. En effet, ce motif a trait à la titularité du droit que les recourants invoquent à l'appui de leur demande tendant à l'inscription d'une servitude de jouissance sur l'immeuble art. vvv. Or celui-ci a été considéré comme inexistant par les premiers juges au terme d'une analyse circonstanciée de la volonté de la de cujus . Ces développements du jugement de première instance constituent donc bien un motif indépendant et alternatif dont la non-contestation par les recourants devant l'autorité cantonale ne pouvait que conduire à l'irrecevabilité de l'appel au vu de la jurisprudence susrappelée (cf. supra consid. 3.3.1). L'arrêt attaqué, qui ne souffre d'aucun formalisme excessif (cf. supra consid. 3.3.2), ne prête donc pas le flanc à la critique. Autant que recevable, la critique ne porte pas.</w:t>
      </w:r>
    </w:p>
    <w:p>
      <w:r>
        <w:rPr>
          <w:b/>
        </w:rPr>
        <w:t>E. 4</w:t>
      </w:r>
    </w:p>
    <w:p>
      <w:r>
        <w:t>En définitive, le recours est rejeté dans la mesure de sa recevabilité. Les recourants, qui succombent, supporteront les frais judiciaires, solidairement entre eux ( art. 66 al. 1 et 5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