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5A_524/2022 vom 22. Juli 2022</w:t>
      </w:r>
    </w:p>
    <w:p>
      <w:r>
        <w:t>Bundesgericht, 2022-07-22, DE</w:t>
      </w:r>
    </w:p>
    <w:p>
      <w:r>
        <w:rPr>
          <w:b/>
        </w:rPr>
        <w:t xml:space="preserve">Quelle: </w:t>
      </w:r>
      <w:r>
        <w:t>https://mcp.opencaselaw.ch/entscheid/bger_5A_524_2022</w:t>
      </w:r>
    </w:p>
    <w:p>
      <w:r>
        <w:t>FR: TF 5A_524/2022 du 22 juillet 2022</w:t>
      </w:r>
    </w:p>
    <w:p>
      <w:r>
        <w:t>IT: TF 5A_524/2022 del 22 luglio 2022</w:t>
      </w:r>
    </w:p>
    <w:p>
      <w:pPr>
        <w:pStyle w:val="Heading2"/>
      </w:pPr>
      <w:r>
        <w:t>Erwägungen</w:t>
      </w:r>
    </w:p>
    <w:p>
      <w:r>
        <w:rPr>
          <w:b/>
        </w:rPr>
        <w:t>E. 1</w:t>
      </w:r>
    </w:p>
    <w:p>
      <w:r>
        <w:t>Im Unterschied zur Zivilprozessordnung (vgl. Art. 270 ZPO ) ist die Schutzschrift im Bundesgerichtsgesetz nicht vorgesehen und die II. zivilrechtliche Abteilung nimmt auch keine solchen entgegen (vgl. Urteil 5A_1032/2017 vom 22. Dezember 2017). Ohnehin bestand im Hinblick auf ein Gesuch um aufschiebende Wirkung im Beschwerdefall kein Anlass für die Einreichung einer Schutzschrift durch die Gegenpartei, weil dieser vorgängig zur Gewährung der aufschiebenden Wirkung Gelegenheit zur Stellungnahme zu geben wäre. Die Schutzschrift ist somit aus den Akten zu weisen.</w:t>
      </w:r>
    </w:p>
    <w:p>
      <w:r>
        <w:rPr>
          <w:b/>
        </w:rPr>
        <w:t>E. 2</w:t>
      </w:r>
    </w:p>
    <w:p>
      <w:r>
        <w:t>Bei Eheschutzsachen handelt es sich um vorsorgliche Massnahmen im Sinn von Art. 98 BGG ( BGE 133 III 393 E. 5.1; zuletzt Urteile 5A_855/2021 vom 27. April 2022 E. 2; 5A_372/2022 vom 24. Mai 2022 E. 1),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rPr>
          <w:b/>
        </w:rPr>
        <w:t>E. 3</w:t>
      </w:r>
    </w:p>
    <w:p>
      <w:r>
        <w:t>Der Beschwerdeführer macht weitschweifige Vorbringen, wieso ihm die eheliche Liegenschaft besser diene und die gegenteiligen obergerichtlichen Erwägungen nicht verfingen. Die Ausführungen bleiben jedoch durchwegs appellatorisch; irgendwelche Verfassungsrügen werden nicht erhoben, ja nicht einmal angedeutet.</w:t>
      </w:r>
    </w:p>
    <w:p>
      <w:r>
        <w:rPr>
          <w:b/>
        </w:rPr>
        <w:t>E. 4</w:t>
      </w:r>
    </w:p>
    <w:p>
      <w:r>
        <w:t>Die Beschwerde ist somit offensichtlich nicht hinreichend begründet, weshalb auf sie im vereinfachten Verfahren nach Art. 108 Abs. 1 lit. b BGG nicht einzutreten ist.</w:t>
      </w:r>
    </w:p>
    <w:p>
      <w:r>
        <w:rPr>
          <w:b/>
        </w:rPr>
        <w:t>E. 5</w:t>
      </w:r>
    </w:p>
    <w:p>
      <w:r>
        <w:t>Mit dem sofortigen Urteil in der Sache ist das Gesuch um aufschiebende Wirkung gegenstandslos.</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