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523/2020 vom 12. August 2020</w:t>
      </w:r>
    </w:p>
    <w:p>
      <w:r>
        <w:t>Bundesgericht, 2020-08-12, DE</w:t>
      </w:r>
    </w:p>
    <w:p>
      <w:r>
        <w:rPr>
          <w:b/>
        </w:rPr>
        <w:t xml:space="preserve">Quelle: </w:t>
      </w:r>
      <w:r>
        <w:t>https://mcp.opencaselaw.ch/entscheid/bger_5A_523_2020</w:t>
      </w:r>
    </w:p>
    <w:p>
      <w:r>
        <w:t>FR: TF 5A 523/2020 du 12 août 2020</w:t>
      </w:r>
    </w:p>
    <w:p>
      <w:r>
        <w:t>IT: TF 5A 523/2020 del 12 agosto 2020</w:t>
      </w:r>
    </w:p>
    <w:p>
      <w:pPr>
        <w:pStyle w:val="Heading2"/>
      </w:pPr>
      <w:r>
        <w:t>Regeste</w:t>
      </w:r>
    </w:p>
    <w:p>
      <w:r>
        <w:t>Provisorische Rechtsöffnung | Schuldbetreibungs- und Konkursrecht</w:t>
      </w:r>
    </w:p>
    <w:p>
      <w:pPr>
        <w:pStyle w:val="Heading2"/>
      </w:pPr>
      <w:r>
        <w:t>Erwägungen</w:t>
      </w:r>
    </w:p>
    <w:p>
      <w:r>
        <w:rPr>
          <w:b/>
        </w:rPr>
        <w:t>E. 1</w:t>
      </w:r>
    </w:p>
    <w:p>
      <w:r>
        <w:t>Gegen den kantonal letztinstanzlichen Rechtsöffnungsentscheid mit Fr. 30'000.-- übersteigendem Streitwert steht die Beschwerde in Zivilsachen offen ( Art. 72 Abs. 2 lit. a, Art. 74 Abs. 1 lit. b,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 ssen Erwägungen erfordert ( BGE 140 III 115 E. 2 S. 116; 142 III 364 E. 2.4 S. 368).</w:t>
      </w:r>
    </w:p>
    <w:p>
      <w:r>
        <w:rPr>
          <w:b/>
        </w:rPr>
        <w:t>E. 3</w:t>
      </w:r>
    </w:p>
    <w:p>
      <w:r>
        <w:t>Bereits vor den kantonalen Instanzen hatte der Beschwerdeführer eine teilweise Verrechnung mit angeblichen Schadenersatzforderungen behauptet. Das Kreisgericht erachtete die behaupteten Forderungen als nicht glaubhaft gemacht und das Kantonsgericht erwog, einzig damit, dass die Gegenforderungen "auf der festen Überzeugung" des Beschwerdeführers beruhten, seien keine objektiven Anhaltspunkte dargetan. Diesbezüglich verweist der Beschwerdeführer auf Unterlagen, welche er dem Kantonsgericht vorgelegt habe und welche die Gegenforderungen angeblich dokumentieren sollen. Indes hat das Kantonsgericht diese mit Verweis auf das Novenverbot von Art. 326 Abs. 1 ZPO nicht berücksichtigt und der Beschwerdeführer müsste in diesem Zusammenhang eine Rechtsverletzung darlegen (vgl. E. 2), was er nicht tut. Mithin hat es, wie bereits das Kantonsgericht ausgeführt hat, bei der Tatsachenlage zu bleiben, wie sie erstinstanzlich bestand, und vor deren Hintergrund zeigt der Beschwerdeführer nicht ansatzweise eine falsche Rechtsanwendung auf.</w:t>
      </w:r>
    </w:p>
    <w:p>
      <w:r>
        <w:rPr>
          <w:b/>
        </w:rPr>
        <w:t>E. 4</w:t>
      </w:r>
    </w:p>
    <w:p>
      <w:r>
        <w:t>Im Zusammenhang mit der Fälligkeit hat bereits das Kantonsgericht dem Beschwerdeführer vorgehalten, dass er sich nicht mit den diesbezüglichen Ausführungen des Kreisgerichts auseinandersetze (wonach gemäss vertraglicher Vereinbarung mit der Kündigung der Darlehen automatisch auch die Grundpfandforderung gekündigt sei); im Übrigen hat es diese Möglichkeit der Parteivereinbarung mit eigenen Erwägungen bestätigt. Vor Bundesgericht erfolgt entgegen den in E. 2 dargelegten Begründungsanforderungen wiederum keine Auseinandersetzung mit diesen Erwägungen, sondern erneut die blosse Behauptung, die Gläubigerbank habe den Schuldbrief nicht gekündigt.</w:t>
      </w:r>
    </w:p>
    <w:p>
      <w:r>
        <w:rPr>
          <w:b/>
        </w:rPr>
        <w:t>E. 5</w:t>
      </w:r>
    </w:p>
    <w:p>
      <w:r>
        <w:t>Nach dem Gesagten erweist sich die Beschwerde als offensichtlich nicht hinreichend begründet und es ist auf sie im vereinfachten Verfahren nach Art. 108 Abs. 1 lit. b BGG nicht einzutreten.</w:t>
      </w:r>
    </w:p>
    <w:p>
      <w:r>
        <w:rPr>
          <w:b/>
        </w:rPr>
        <w:t>E. 6</w:t>
      </w:r>
    </w:p>
    <w:p>
      <w:r>
        <w:t>Mit dem Entscheid in der Sache wird das Gesuch um aufschiebende Wirkung gegenstandslos.</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 Soweit eine Partei nicht einen Rechtsanwalt mandatiert, wird ihr nach bundesgerichtlicher Praxis nur in Ausnahmefällen eine Parteientschädigung zugesprochen (dazu im Einzelnen BGE 129 II 297 E. 5 S. 304; Urteil 2C_807/2016 vom 17. Juli 2017 E. 6.3). Vor diesem Hintergrund ist die Stellungnahme der Beschwerdegegnerin, zumal sie sich auf die Frage der aufschiebenden Wirkung beschränkt, nicht entschädigungspflichtig.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