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5A_522/2024 vom 26. August 2024</w:t>
      </w:r>
    </w:p>
    <w:p>
      <w:r>
        <w:t>Bundesgericht, 2024-08-26, DE</w:t>
      </w:r>
    </w:p>
    <w:p>
      <w:r>
        <w:rPr>
          <w:b/>
        </w:rPr>
        <w:t xml:space="preserve">Quelle: </w:t>
      </w:r>
      <w:r>
        <w:t>https://mcp.opencaselaw.ch/entscheid/bger_5A_522_2024</w:t>
      </w:r>
    </w:p>
    <w:p>
      <w:r>
        <w:t>FR: TF 5A_522/2024 du 26 août 2024</w:t>
      </w:r>
    </w:p>
    <w:p>
      <w:r>
        <w:t>IT: TF 5A_522/2024 del 26 agosto 2024</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2</w:t>
      </w:r>
    </w:p>
    <w:p>
      <w:r>
        <w:t>Der Beschwerdeführer setzt sich nicht sachgerichtet mit den sehr ausführlichen Erwägungen des angefochtenen Entscheides auseinander, sondern er beschränkt sich auf vier kurze Statements, welche indes weder Willkürrügen in Bezug auf den Sachverhalt darstellen noch eine falsche Rechtsanwendung aufzeigen:</w:t>
      </w:r>
    </w:p>
    <w:p>
      <w:r>
        <w:t>Vorab bringt der Beschwerdeführer vor, dass er seit 1. Juli 2024 einen neuen Beschäftigungsgrad von 80 % habe und die ganze Sache neu zu berechnen sei. Dabei handelt es sich um ein echtes Novum, welches im bundesgerichtlichen Verfahren unzulässig ist ( Art. 99 Abs. 1 BGG ). Der Beschwerdeführer müsste sich mit einem Abänderungsgesuch an das Bezirksgericht wenden und veränderte Tatsachen geltend machen.</w:t>
      </w:r>
    </w:p>
    <w:p>
      <w:r>
        <w:t>Weder eine willkürliche Sachverhaltsfeststellung noch eine falsche Rechtsanwendung ist darzutun mit der allgemeinen Aussage, es sei nicht fair, dass gemeinnützige Institutionen einen Menschen in so eine missliche Lage brächten; er habe dem Betreibungsamt sein Vertrauen geschenkt und dieses hätte das anstandslos ausgenutzt.</w:t>
      </w:r>
    </w:p>
    <w:p>
      <w:r>
        <w:t>Keine Willkürrüge liegt in der Kritik, es sei nie auf das sog. Schwarzgeld eingegangen worden; er habe der Kindsmutter mehrmals Geld in bar ohne Quittung gegeben.</w:t>
      </w:r>
    </w:p>
    <w:p>
      <w:r>
        <w:t>Nichts zur Sache tut schliesslich die Aussage des Beschwerdeführers, er sei weder in der Lage noch gewillt, Kosten zu übernehmen; das Ganze sei durch den Vertrauensbruch des Betreibungsamtes ins Rollen gebracht worden und folglich habe das Amt sämtliche Kosten zu tragen.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