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5A_522/2021 vom 15. Dezember 2021</w:t>
      </w:r>
    </w:p>
    <w:p>
      <w:r>
        <w:t>Bundesgericht, 2021-12-15, DE</w:t>
      </w:r>
    </w:p>
    <w:p>
      <w:r>
        <w:rPr>
          <w:b/>
        </w:rPr>
        <w:t xml:space="preserve">Quelle: </w:t>
      </w:r>
      <w:r>
        <w:t>https://mcp.opencaselaw.ch/entscheid/bger_5A_522_2021</w:t>
      </w:r>
    </w:p>
    <w:p>
      <w:r>
        <w:t>FR: TF 5A_522/2021 du 15 décembre 2021</w:t>
      </w:r>
    </w:p>
    <w:p>
      <w:r>
        <w:t>IT: TF 5A_522/2021 del 15 dicembre 2021</w:t>
      </w:r>
    </w:p>
    <w:p>
      <w:pPr>
        <w:pStyle w:val="Heading2"/>
      </w:pPr>
      <w:r>
        <w:t>Erwägungen</w:t>
      </w:r>
    </w:p>
    <w:p>
      <w:r>
        <w:rPr>
          <w:b/>
        </w:rPr>
        <w:t>E. 1</w:t>
      </w:r>
    </w:p>
    <w:p>
      <w:r>
        <w:t>Das Bundesgericht prüft seine Zuständigkeit und die weiteren Eintretensvoraussetzungen von Amtes wegen und mit freier Kognition (vgl. Art. 29 Abs. 1 BGG ; BGE 146 I 126 E. 1 [einleitend]; 145 II 168 E. 1).</w:t>
      </w:r>
    </w:p>
    <w:p>
      <w:r>
        <w:rPr>
          <w:b/>
        </w:rPr>
        <w:t>E. 2</w:t>
      </w:r>
    </w:p>
    <w:p>
      <w:r>
        <w:t>Fristgerecht ( Art. 100 Abs. 1 BGG ) angefochten ist der Endentscheid ( Art. 90 BGG ) eines oberen Gerichts, das auf Rechtsmittel hin als letzte kantonale Instanz ( Art. 75 BGG ) über eine öffentlich-rechtliche Angelegenheit in unmittelbarem Zusammenhang mit dem Zivilrecht ohne Streitwert entschieden hat (Art. 72 Abs. 2 Bst. b Ziff. 6 BGG; vgl. Urteile 5A_413/2020 vom 29. Mai 2020 E. 1; 5A_770/2018 vom 6. März 2019 E. 1). Die Beschwerde in Zivilsachen ist damit das zutreffende Rechtsmittel.</w:t>
      </w:r>
    </w:p>
    <w:p>
      <w:r>
        <w:rPr>
          <w:b/>
        </w:rPr>
        <w:t>E. 3.1</w:t>
      </w:r>
    </w:p>
    <w:p>
      <w:r>
        <w:t>Das Kantonsgericht trat auf die bei ihm erhobene Beschwerde nicht ein (vgl. vorne Bst. B). Streitgegenstand des vorliegenden Verfahrens ist damit grundsätzlich nur die Frage, ob die Vorinstanz zu Recht auf die Beschwerde nicht eingetreten ist ( BGE 135 II 38 E. 1). In einer Eventualbegründung hat das Kantonsgericht indes zusätzlich erwogen, dass das Rechtsmittel selbst dann in materieller Hinsicht abzuweisen wäre, wenn darauf eingetreten werden könnte.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(vgl. Art. 42 Abs. 2 und 106 Abs. 2 BGG) sowohl mit dem Nichteintreten als auch mit der materiellrechtlichen Seite der Angelegenheit auseinandersetzen, widrigenfalls auf die Beschwerde nicht eingetreten werden kann ( BGE 139 II 233 E. 3.2; Urteil 2C_373/2017 vom 14. Februar 2019 E. 1.5, nicht publiziert in: BGE 145 I 308 ; allgemein vgl. BGE 142 III 364 E. 2.4 a.E.); denn erweist sich auch nur eine der Begründungen als rechtskonform, so ist es der Entscheid selbst ( BGE 133 III 221 E. 7; 130 III 321 E. 6; zum Ganzen: Urteil 5A_456/2017 vom 1. März 2018 E. 1.3).</w:t>
      </w:r>
    </w:p>
    <w:p>
      <w:r>
        <w:t>Am Ausgeführten ändert weder die (formale) Formulierung des allein auf Nichteintreten lautenden Dispositivs des angefochtenen Entscheids etwas (Urteil 5A_202/2015 vom 26. November 2015 E. 2.2, nicht publiziert in: BGE 142 III 1 , aber in: FamPra.ch 2016 S. 560), noch der bloss subsidiäre Charakter der materiellen Eventualbegründung (Urteile 5A_588/2015 vom 9. Februar 2016 E. 4.2; 5A_936/2013 vom 8. Juli 2014 E. 2.2.2).</w:t>
      </w:r>
    </w:p>
    <w:p>
      <w:r>
        <w:rPr>
          <w:b/>
        </w:rPr>
        <w:t>E. 3.2</w:t>
      </w:r>
    </w:p>
    <w:p>
      <w:r>
        <w:t>Der Beschwerdeführer setzt sich in der Beschwerdeschrift vertieft allein mit der Eintretensfrage auseinander, wobei er geltend macht, als seiner Mutter nahestehende Person im Sinne von Art. 450 Abs. 2 Ziff. 2 ZGB im kantonalen Rechtsmittelverfahren zur Beschwerde berechtigt zu sein. Der materiellen Frage, ob für seine Mutter eine Massnahme des Erwachsenenschutzes zu treffen, namentlich aber eine Beistandschaft zu errichten ist, schenkt er dagegen allenfalls ansatzweise Beachtung. Der Beschwerdeschrift lässt sich insofern unter dem Titel "Willkürliche Beweiswürdigung" allein entnehmen, die Mutter könne keinesfalls ihren Willen umsetzen und sich gegen ihr Umfeld durchsetzen, weshalb eine Erwachsenenschutzmassnahme geprüft werden müsse bzw. notwendig sei. Damit setzt der Beschwerdeführer sich aber nicht hinreichend mit dem Standpunkt des Kantonsgerichts auseinander, durch die bereits bestehenden Vorkehrungen (vgl. vorne Bst. A.a und A.b) sei für die Beschwerdegegnerin 1 genügend gesorgt und eine (weitere) Erwachsenenschutzmassnahme trage dem Subsidiaritätsprinzip nach Art. 389 Abs. 1 ZGB nicht Rechnung. Der nach Art. 42 Abs. 2 BGG für die Beschwerde in Zivilsachen geltenden Begründungspflicht hätte der Beschwerdeführer nur genügen getan, wenn er sich gezielt mit den massgebenden Erwägungen des angefochtenen Entscheids auseinandergesetzt und aufgezeigt hätte, weshalb der Vorinstanz eine Bundesrechtsverletzung vorzuwerfen ist ( BGE 142 I 99 E. 1.7.1; 140 III 86 E. 2). Dies hätte etwa einer detaillierten Darlegung bedurft, weshalb die von der Beschwerdegegnerin 1 getroffenen Vorkehrungen zu ihrem Schutz nicht ausreichend sind. Eine allfällige Kritik an den tatsächlichen Feststellungen der Vorinstanz hätte zudem in einer dem strengen Rügeprinzip nach Art. 106 Abs. 2 BGG genügenden Art und Weise vorgetragen werden müssen (vgl. dazu etwa BGE 141 IV 249 E. 1.3.1; 140 III 264 E. 2.3).</w:t>
      </w:r>
    </w:p>
    <w:p>
      <w:r>
        <w:rPr>
          <w:b/>
        </w:rPr>
        <w:t>E. 3.3</w:t>
      </w:r>
    </w:p>
    <w:p>
      <w:r>
        <w:t>Zusammengefasst enthält die Beschwerdeschrift hinsichtlich der im angefochtenen Entscheid enthaltenen Eventualbegründung, die den für den Beschwerdeführer negativen Prozessausgang ebenfalls rechtfertigt, keine hinreichende Begründung. Die Beschwerde erweist sich damit als ungenügend begründet, weshalb nicht darauf einzutreten ist. Unter diesen Umständen erübrigt es sich, die Akten des früheren den Beschwerdeführer betreffenden Verfahrens (vgl. vorne Bst. A.b) beizuziehen, weshalb der entsprechende Antrag abgewiesen wird.</w:t>
      </w:r>
    </w:p>
    <w:p>
      <w:r>
        <w:rPr>
          <w:b/>
        </w:rPr>
        <w:t>E. 4</w:t>
      </w:r>
    </w:p>
    <w:p>
      <w:r>
        <w:t>Bei diesem Ausgang des Verfahrens sind die Gerichtskosten dem unterliegenden Beschwerdeführer aufzuerlegen ( Art. 66 Abs. 1 BGG ). Den obsiegenden Beschwerdegegnern sind mangels Einholens von Vernehmlassungen keine entschädigungspflichtigen Kosten entstanden und der Kanton Basel-Landschaft hat keinen Anspruch auf eine Parteientschädigung, weshalb keine solche zu sprechen ist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