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5A_521/2024 vom 26. August 2024</w:t>
      </w:r>
    </w:p>
    <w:p>
      <w:r>
        <w:t>Bundesgericht, 2024-08-26, DE</w:t>
      </w:r>
    </w:p>
    <w:p>
      <w:r>
        <w:rPr>
          <w:b/>
        </w:rPr>
        <w:t xml:space="preserve">Quelle: </w:t>
      </w:r>
      <w:r>
        <w:t>https://mcp.opencaselaw.ch/entscheid/bger_5A_521_2024</w:t>
      </w:r>
    </w:p>
    <w:p>
      <w:r>
        <w:t>FR: TF 5A_521/2024 du 26 août 2024</w:t>
      </w:r>
    </w:p>
    <w:p>
      <w:r>
        <w:t>IT: TF 5A_521/2024 del 26 agosto 2024</w:t>
      </w:r>
    </w:p>
    <w:p>
      <w:pPr>
        <w:pStyle w:val="Heading2"/>
      </w:pPr>
      <w:r>
        <w:t>Erwägungen</w:t>
      </w:r>
    </w:p>
    <w:p>
      <w:r>
        <w:rPr>
          <w:b/>
        </w:rPr>
        <w:t>E. 1</w:t>
      </w:r>
    </w:p>
    <w:p>
      <w:r>
        <w:t>Angefochten ist eine kantonal letztinstanzliche Verfügung, mit welcher die unentgeltliche Rechtspflege für das Berufungsverfahren abgewiesen worden ist. Dabei handelt es sich um einen Zwischenentscheid, der einen nicht wieder gutzumachenden Nachteil im Sinne von Art. 93 Abs. 1 Bst. a BGG bewirken kann bzw. unabhängig von einem solchen anfechtbar ist ( BGE 135 III 127 E. 1.3; 138 IV 258 E. 1.1 ; 143 I 344 E. 1.2), und der Rechtsweg folgt demjenigen in der Hauptsache ( BGE 137 III 380 E. 1.1). Die Beschwerde in Zivilsachen steht damit offen ( Art. 72 Abs. 1, Art. 74 Abs. 1 lit. a, Art. 75 Abs. 1 und Art. 93 Abs. 1 BGG ).</w:t>
      </w:r>
    </w:p>
    <w:p>
      <w:r>
        <w:rPr>
          <w:b/>
        </w:rPr>
        <w:t>E. 2</w:t>
      </w:r>
    </w:p>
    <w:p>
      <w:r>
        <w:t>Der Beschwerdeführer äussert sich in mannigfacher Hinsicht (zum Wirksamwerden des Zuschlags; zu den fehlenden Gründen für die Abweisung der unentgeltlichen Rechtspflege; zum Unwillen des Obergerichts; zur Relevanz der Steigerungsbedingungen; zur Rolle der nachträglichen Belege und Eingaben; zur Zahlung des Kaufpreises; zur Replikfrist; zum Gesundheitszustand; zur Bewirtschaftung; u.ä.m.). Diese Ausführungen gehen allesamt an der Sache vorbei und die Berufung gegen den erstinstanzlichen Entscheid betreffend das Gesuch um Rechtsschutz in klaren Fällen ist offensichtlich aussichtslos:</w:t>
      </w:r>
    </w:p>
    <w:p>
      <w:r>
        <w:t>Vorliegend fehlte es nicht nur an den Voraussetzungen für den Rechtsschutz in klaren Fällen, sondern vielmehr war der Beschwerdeführer gar nicht mehr legitimiert, am 19. November 2023 erstinstanzlich ein solches Gesuch zu stellen, weil das Eigentum in diesem Zeitpunkt bereits auf die Ersteigerer übergegangen war. Der Eigentumsübergang erfolgt nicht erst mit dem - hier bloss deklaratorischen - Grundbucheintrag, sondern ex lege bereits mit dem Zuschlag in der Zwangsvollstreckung und damit ausserbuchlich ( Art. 656 Abs. 2 ZGB ; BGE 117 III 39 E. 4b; 128 III 82 E. 1a; Urteil 5A_811/2017 vom 6. November 2017 E. 3; ROTH, in: Basler Kommentar, 3. Aufl. 2021, N. 87 zu Art. 126 ZGB ). Zwar meldet das Betreibungsamt den Eigentumsübergang erst dann beim Grundbuchamt an, wenn keine Beschwerde erhoben oder diese abgewiesen worden ist ( Art. 66 Abs. 1 VZG ). Insofern kommt einer gestützt auf Art. 17 SchKG erhobenen Beschwerde gegen den Zuschlag von Gesetzes wegen aufschiebende Wirkung zu (LEVANTE, in: Basler Kommentar, N. 83 zu Art. 19 SchKG ; COMETTA/ MÖCKLI, in: Basler Kommentar, N. 9 zu Art. 36 SchKG ). Indes treten bei abweisendem Beschwerdeentscheid die Wirkungen des Zuschlages rückwirkend auf den betreffenden Zeitpunkt wieder ein ( BGE 129 III 100 E. 3). Für den Weiterzug an das Bundesgericht ist sodann zu beachten, dass es sich beim Zuschlag bzw. beim Entscheid der kantonalen Aufsichtsbehörde nicht um ein Gestaltungsurteil im Sinn von Art. 103 Abs. 2 lit. a BGG handelt, sondern vielmehr der allgemeine Grundsatz von Art. 103 Abs. 1 BGG zum Tragen kommt, wonach die Beschwerde an das Bundesgericht keine aufschiebende Wirkung hat (LEVANTE, a.a.O., N. 83 zu Art. 19 SchKG m.w.H.).</w:t>
      </w:r>
    </w:p>
    <w:p>
      <w:r>
        <w:t>Vorliegend hat das Bundesgericht mit Verfügung vom 29. September 2023 mitgeteilt, dass nur die Meldung an das Grundbuchamt aufgeschoben sei ( Art. 66 Abs. 1 BZG ), und es hat das darüber hinausgehende Gesuch um aufschiebende Wirkung explizit abgewiesen. Damit waren im Zeitpunkt der Einreichung des Gesuches um Rechtsschutz in klaren Fällen am 19. November 2023 die Ersteigerer durch ausserbuchlichen Erwerb die materiellrechtlichen Eigentümer und der Beschwerdeführer in der Folge nicht mehr legitimiert, gestützt auf Eigentumsrecht ein Gesuch um Rechtsschutz in klaren Fällen zu stellen. Die gegen den bezirksgerichtlichen Entscheid erhobene Berufung erweist sich demnach als von vornherein aussichtslos.</w:t>
      </w:r>
    </w:p>
    <w:p>
      <w:r>
        <w:t>Vor diesem Hintergrund hat das Obergericht das für das Berufungsverfahren gestellte Gesuch um unentgeltliche Rechtspflege zu Recht abgewiesen und die hiergegen erhobene Beschwerde ist abzuweisen, soweit auf sie einzutreten ist.</w:t>
      </w:r>
    </w:p>
    <w:p>
      <w:r>
        <w:rPr>
          <w:b/>
        </w:rPr>
        <w:t>E. 3</w:t>
      </w:r>
    </w:p>
    <w:p>
      <w:r>
        <w:t>Für das bundesgerichtliche Verfahren wurde kein Gesuch um unentgeltliche Rechtspflege gestellt und ohnehin hätte einem solchen keine Aussicht auf Erfolg beschieden sein können. Die Gerichtskosten für das vorliegende Verfahren hat der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