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5A_521/2019 vom 29. August 2019</w:t>
      </w:r>
    </w:p>
    <w:p>
      <w:r>
        <w:t>Bundesgericht, 2019-08-29, IT</w:t>
      </w:r>
    </w:p>
    <w:p>
      <w:r>
        <w:rPr>
          <w:b/>
        </w:rPr>
        <w:t xml:space="preserve">Quelle: </w:t>
      </w:r>
      <w:r>
        <w:t>https://mcp.opencaselaw.ch/entscheid/bger_5A_521_2019</w:t>
      </w:r>
    </w:p>
    <w:p>
      <w:r>
        <w:t>FR: TF 5A_521/2019 du 29 août 2019</w:t>
      </w:r>
    </w:p>
    <w:p>
      <w:r>
        <w:t>IT: TF 5A_521/2019 del 29 agosto 2019</w:t>
      </w:r>
    </w:p>
    <w:p>
      <w:pPr>
        <w:pStyle w:val="Heading2"/>
      </w:pPr>
      <w:r>
        <w:t>Erwägungen</w:t>
      </w:r>
    </w:p>
    <w:p>
      <w:r>
        <w:rPr>
          <w:b/>
        </w:rPr>
        <w:t>E. 1.1</w:t>
      </w:r>
    </w:p>
    <w:p>
      <w:r>
        <w:t>Il tempestivo ( art. 100 cpv. 1 LTF ) rimedio, interposto dalla parte soccombente nella sede cantonale ( art. 76 cpv. 1 LTF ), è diretto contro una decisione finale ( art. 90 LTF ) emanata su ricorso dall'autorità ticinese di ultima istanza ( art. 75 cpv. 1 e 2 LTF ) in una causa civile ( art. 72 cpv. 1 LTF ) di natura pecuniaria il cui valore litigioso supera fr. 30'000.-- ( art. 74 cpv. 1 lett. b LTF ). Il ricorso in materia civile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t>Dinanzi al Tribunale federale non possono essere addotti nuovi fatti o nuovi mezzi di prova, a meno che non ne dia motivo la decisione impugnata ( art. 99 cpv. 1 LTF ).</w:t>
      </w:r>
    </w:p>
    <w:p>
      <w:r>
        <w:rPr>
          <w:b/>
        </w:rPr>
        <w:t>E. 2</w:t>
      </w:r>
    </w:p>
    <w:p>
      <w:r>
        <w:t>Il giudice omologa la convenzione sulle conseguenze del divorzio quando si sia convinto che i coniugi l'abbiano conclusa di loro libera volontà e dopo matura riflessione e che la medesima sia chiara, completa e non manifestamente inadeguata (art. 279 cpv. 1 primo periodo CPC [RS 272]).</w:t>
      </w:r>
    </w:p>
    <w:p>
      <w:r>
        <w:rPr>
          <w:b/>
        </w:rPr>
        <w:t>E. 2.1</w:t>
      </w:r>
    </w:p>
    <w:p>
      <w:r>
        <w:t>La Corte cantonale ha esaminato le censure dell'ex marito di inefficacia della clausola n. 5 della convenzione sugli effetti accessori del divorzio per vizio di volontà e per manifesta inadeguatezza, ricordando che, nel caso in cui avesse accolto l'appello, non avrebbe potuto riformare la decisione del giudice di prime cure (come richiesto), ma avrebbe dovuto annullarla ed assegnare un termine ad ogni coniuge entro cui promuovere azione di divorzio.</w:t>
      </w:r>
    </w:p>
    <w:p>
      <w:r>
        <w:t>Secondo i Giudici cantonali, il ricorrente non ha recato la prova di un difetto di volontà: nel certificato 22 ottobre 2018 prodotto in appello il suo medico curante ha attestato che egli " soffre già da tempo di ansia generalizzata, attacchi di panico conseguenti allo stress per la pratica di divorzio " e che " a partire dal 4 ottobre 2018 la sintomatologia si è aggravata con sindrome ansioso-depressiva, insonnia, ansia, agitazione e attacchi di panico ", tuttavia il medico ha aggiunto che " tale sintomatologia è trattata con terapia adeguata " e dal certificato non risulta se e in che misura tali disturbi abbiano influito o abbiano potuto influire sulla capacità di discernimento del ricorrente all'udienza del 4 ottobre 2018. Al momento di omologare la convenzione, l'autorità di prima istanza non aveva del resto ragione di dubitare che il ricorrente avesse firmato l'intesa di sua liberà volontà e dopo matura riflessione: l'udienza si era protratta per oltre due ore, egli era accompagnato dal suo precedente legale (che si presume abbia vegliato sui suoi interessi), era stato invitato a documentare la propria situazione finanziaria e previdenziale ed inoltre, in virtù di una decisione 5 aprile 2016 a tutela dell'unione coniugale, già versava un contributo alimentare di fr. 1'682.90 all'opponente, dalla quale era ormai separato da quasi tre anni.</w:t>
      </w:r>
    </w:p>
    <w:p>
      <w:r>
        <w:t>Per la Corte cantonale, poi, il ricorrente non ha spiegato perché la clausola contestata sarebbe manifestamente inadeguata (ossia si scosterebbe in maniera evidente e manifestamente riconoscibile rispetto alle previsioni di legge; v. sentenza 5A_683/2014 del 18 marzo 2015 consid. 5.1 con rinvii), ma si è limitato a sostenere che il contributo alimentare sarebbe eccessivo, per cui al riguardo il suo appello andava ritenuto inammissibile. Su questo punto il rimedio doveva in ogni modo essere respinto, poiché, se è vero che per legge, laddove la comunione domestica è durata meno di cinque anni e dal matrimonio non sono nati figli, il coniuge richiedente non ha diritto ad un contributo alimentare dopo il divorzio, in una convenzione sugli effetti accessori del divorzio le parti possono accordarsi altrimenti, senza che l'impegno assunto dal coniuge debitore appaia manifestamente inadeguato, men che meno ove quel coniuge non sia - come in concreto - la parte economicamente più debole.</w:t>
      </w:r>
    </w:p>
    <w:p>
      <w:r>
        <w:rPr>
          <w:b/>
        </w:rPr>
        <w:t>E. 2.2</w:t>
      </w:r>
    </w:p>
    <w:p>
      <w:r>
        <w:t>Il ricorrente lamenta un accertamento manifestamente inesatto dei fatti ed una violazione del diritto federale.</w:t>
      </w:r>
    </w:p>
    <w:p>
      <w:r>
        <w:t>Egli sostiene di aver dimostrato che il giorno dell'udienza non era in grado di prendere una decisione ragionata e coerente in merito alle richieste dell'ex moglie, " come risulta chiaramente dal certificato medico prodotto agli atti e datato 22 ottobre 2018", nonché dalla precisazione 25 giugno 2019 del medico curante allegata al ricorso, nella quale costui constata come " [l]'udienza del 4/10/2018 è stato sicuramente un fattore di stress scatenante una acuzie della patologia ansiosa. In tale circostanza il paziente si trovava in condizioni di ansia generalizzata, di agitazione e confusione che non gli permettevano di realizzare nell'immediato ciò che gli veniva proposto". Pur se accompagnato dal suo precedente legale, quest'ultimo poteva soltanto consigliarlo ed assisterlo, "ma la decisione finale spetta al diretto interessato". La durata dell'udienza, inoltre, " non può essere presa come indizio di una matura riflessione ", ma avrebbe invece influito sulla sua lucidità. In sede provvisionale, egli avrebbe del resto chiesto che nessun contributo alimentare venisse concesso all'opponente, per cui la generosità dimostrata all'udienza avrebbe dovuto portare a dubitare della sua capacità decisionale.</w:t>
      </w:r>
    </w:p>
    <w:p>
      <w:r>
        <w:t>Il ricorrente ribadisce inoltre che la clausola n. 5 della convenzione omologata sarebbe manifestamente inadeguata. Il matrimonio è infatti stato di breve durata e quindi, secondo la legge, l'opponente non avrebbe avuto diritto di mantenere il livello di vita raggiunto durante la comunione domestica, ciò che sarebbe stato ammesso anche dagli stessi Giudici cantonali. L'obbligo di versare all'ex moglie " una tale cifra così elevata in relazione alle proprie sostanze e per lo più per tanti anni in avvenire " sarebbe quindi del tutto iniquo.</w:t>
      </w:r>
    </w:p>
    <w:p>
      <w:r>
        <w:rPr>
          <w:b/>
        </w:rPr>
        <w:t>E. 2.3</w:t>
      </w:r>
    </w:p>
    <w:p>
      <w:r>
        <w:t>In relazione al vizio di volontà, va osservato che la precisazione 25 giugno 2019 del medico curante costituisce un mezzo di prova nuovo, la cui produzione in questa sede è inammissibile siccome la condizione dell' art. 99 cpv. 1 LTF non risulta soddisfatta ed il ricorrente non pretende il contrario. Inoltre, la circostanza secondo cui in sede provvisionale il marito si era opposto al versamento di un contributo di mantenimento alla moglie non emerge dall'impugnata sentenza ed il ricorrente non dimostra che sarebbero adempiute le condizioni che permettono al Tribunale federale di scostarsi dai fatti stabiliti dall'autorità inferiore (art. 97 cpv. 1 e 99 cpv. 1 LTF). L'argomentazione rimanente è poi generica e del tutto insufficiente a dimostrare che la Corte cantonale avrebbe dovuto ammettere l'esistenza di un difetto di volontà. Su questo punto il ricorso va quindi dichiarato inammissibile per carente motivazione.</w:t>
      </w:r>
    </w:p>
    <w:p>
      <w:r>
        <w:t>Per quanto concerne invece la pretesa manifesta inadeguatezza del contributo di mantenimento, il ricorrente si limita a criticare l'argomentazione sussidiaria (di infondatezza della censura) sviluppata dai Giudici cantonali, ma omette di confrontarsi con l'argomentazione principale (di irricevibilità della censura) contenuta nell'impugnato giudizio. Ora, quando la sentenza impugnata (o parte di essa) si fonda su più motivazioni indipendenti (alternative o sussidiarie), la parte ricorrente deve confrontarsi con ognuna di esse in modo conforme agli art. 42 cpv. 2 e 106 cpv. 2 LTF, pena l'inammissibilità ( DTF 142 III 364 consid. 2.4 con rinvii). In applicazione di questa giurisprudenza, anche su questo punto il gravame risulta perciò irricevibile.</w:t>
      </w:r>
    </w:p>
    <w:p>
      <w:r>
        <w:rPr>
          <w:b/>
        </w:rPr>
        <w:t>E. 3</w:t>
      </w:r>
    </w:p>
    <w:p>
      <w:r>
        <w:t>Da quanto precede discende che il ricorso va dichiarato integralmente inammissibile.</w:t>
      </w:r>
    </w:p>
    <w:p>
      <w:r>
        <w:t>Le spese giudiziarie seguono la soccombenza ( art. 66 cpv. 1 LTF ). Non si giustifica assegnare ripetibili all'opponente, la quale non è stata invitata a presentare una risposta al ricorso e non è quindi incorsa in spese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