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521/2007 vom 23. Juni 2008</w:t>
      </w:r>
    </w:p>
    <w:p>
      <w:r>
        <w:t>Bundesgericht, 2008-06-23, DE</w:t>
      </w:r>
    </w:p>
    <w:p>
      <w:r>
        <w:rPr>
          <w:b/>
        </w:rPr>
        <w:t xml:space="preserve">Quelle: </w:t>
      </w:r>
      <w:r>
        <w:t>https://mcp.opencaselaw.ch/entscheid/bger_5A_521_2007</w:t>
      </w:r>
    </w:p>
    <w:p>
      <w:r>
        <w:t>FR: TF 5A 521/2007 du 23 juin 2008</w:t>
      </w:r>
    </w:p>
    <w:p>
      <w:r>
        <w:t>IT: TF 5A 521/2007 del 23 giugno 2008</w:t>
      </w:r>
    </w:p>
    <w:p>
      <w:pPr>
        <w:pStyle w:val="Heading2"/>
      </w:pPr>
      <w:r>
        <w:t>Regeste</w:t>
      </w:r>
    </w:p>
    <w:p>
      <w:r>
        <w:t>Vorsorgliche Massnahmen nach Art. 137 ZGB | Familienrecht</w:t>
      </w:r>
    </w:p>
    <w:p>
      <w:pPr>
        <w:pStyle w:val="Heading2"/>
      </w:pPr>
      <w:r>
        <w:t>Erwägungen</w:t>
      </w:r>
    </w:p>
    <w:p>
      <w:r>
        <w:rPr>
          <w:b/>
        </w:rPr>
        <w:t>E. 1</w:t>
      </w:r>
    </w:p>
    <w:p>
      <w:r>
        <w:t>Von hier nicht in Betracht fallenden Ausnahmen abgesehen (dazu Art. 100 Abs. 2-4 BGG ), ist die Beschwerde an das Bundesgericht innert 30 Tagen nach der Eröffnung der vollständigen Ausfertigung des angefochtenen Entscheids einzureichen ( Art. 100 Abs. 1 BGG ). Unter anderem vom 15. Juli bis und mit dem 15. August steht diese Frist grundsätzlich still ( Art. 46 Abs. 1 lit. b BGG ). Diese Vorschrift gilt in Verfahren betreffend vorsorgliche Massnahmen indessen nicht ( Art. 46 Abs. 2 BGG ).</w:t>
      </w:r>
    </w:p>
    <w:p>
      <w:r>
        <w:rPr>
          <w:b/>
        </w:rPr>
        <w:t>E. 2</w:t>
      </w:r>
    </w:p>
    <w:p>
      <w:r>
        <w:t>Das angefochtene Urteil hat der Beschwerdeführer am 26. Juli 2007 in Empfang genommen. Der erste Tag der dadurch ausgelösten Beschwerdefrist ( Art. 44 Abs. 1 BGG ) von 30 Tagen war der 27. Juli 2007 und der letzte der 27. August 2007, zumal der 30. Tag (25. August 2007) auf einen Samstag fiel ( Art. 45 Abs. 1 BGG ). Die erst am 14. September 2007 zur Post gebrachte Beschwerdeschrift ist somit verspätet eingereicht worden, so dass auf die beiden Beschwerden nicht einzutreten ist.</w:t>
      </w:r>
    </w:p>
    <w:p>
      <w:r>
        <w:rPr>
          <w:b/>
        </w:rPr>
        <w:t>E. 3</w:t>
      </w:r>
    </w:p>
    <w:p>
      <w:r>
        <w:t>Bei diesem Ausgang des Verfahrens ist der Beschwerdeführer grundsätzlich kosten- und entschädigungspflichtig ( Art. 66 Abs. 1 und Art. 68 Abs. 2 BGG ). Da die Beschwerden nach dem Gesagten von vornherein als aussichtslos erschienen, ist sein Gesuch, ihm für das bundesgerichtliche Verfahren die unentgeltliche Rechtspflege zu gewähren, abzuweisen (vgl. Art. 64 Abs. 1 BGG ). In Anbetracht der wirtschaftlichen Verhältnisse des Beschwerdeführers ist von einer Auferlegung von Gerichtskosten jedoch abzusehen (Art. 66 Abs. 1 zweiter Satz BGG). Bezüglich der Gerichtskosten ist das von der Beschwerdegegnerin gestellte Armenrechtsgesuch gegenstandslos. Da im Übrigen bei der Beschwerdegegnerin die Voraussetzungen von Art. 64 Abs. 1 BGG offensichtlich erfüllt sind, ist ihrem Gesuch stattzugeben und ihre Anwältin zur Rechtsbeiständin zu ernennen. Für den Fall der Uneinbringlichkeit der vom Beschwerdeführer zu zahlenden Parteientschädigung ist die Rechtsbeiständin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