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520/2020 vom 30. Juni 2020</w:t>
      </w:r>
    </w:p>
    <w:p>
      <w:r>
        <w:t>Bundesgericht, 2020-06-30, DE</w:t>
      </w:r>
    </w:p>
    <w:p>
      <w:r>
        <w:rPr>
          <w:b/>
        </w:rPr>
        <w:t xml:space="preserve">Quelle: </w:t>
      </w:r>
      <w:r>
        <w:t>https://mcp.opencaselaw.ch/entscheid/bger_5A_520_2020</w:t>
      </w:r>
    </w:p>
    <w:p>
      <w:r>
        <w:t>FR: TF 5A 520/2020 du 30 juin 2020</w:t>
      </w:r>
    </w:p>
    <w:p>
      <w:r>
        <w:t>IT: TF 5A 520/2020 del 30 giugno 2020</w:t>
      </w:r>
    </w:p>
    <w:p>
      <w:pPr>
        <w:pStyle w:val="Heading2"/>
      </w:pPr>
      <w:r>
        <w:t>Regeste</w:t>
      </w:r>
    </w:p>
    <w:p>
      <w:r>
        <w:t>Schriftliche Begründung des Urteils (Abänderung des Scheidungsurteils) | Familienrecht</w:t>
      </w:r>
    </w:p>
    <w:p>
      <w:pPr>
        <w:pStyle w:val="Heading2"/>
      </w:pPr>
      <w:r>
        <w:t>Erwägungen</w:t>
      </w:r>
    </w:p>
    <w:p>
      <w:r>
        <w:rPr>
          <w:b/>
        </w:rPr>
        <w:t>E. 1</w:t>
      </w:r>
    </w:p>
    <w:p>
      <w:r>
        <w:t>Das Bundesgericht ist an die Feststellungen im angefochtenen Entscheid gebunden ( Art. 105 Abs. 1 BGG ). Diesbezüglich könnte einzig mit substanziierten Rügen eine willkürliche Sachverhaltsfeststellung geltend gemacht werden (Art. 97 Abs. 1 i.V.m. Art. 106 Abs. 2 BGG ; BGE 140 III 264 E. 2.3 S. 266 ; 143 I 310 E. 2.2 S. 313).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Ausführungen in der Beschwerde beziehen sich nicht auf die spezifische Entscheidbegründung des Obergerichtes. Vielmehr werden nochmals die Umstände aus der Sicht des Beschwerdeführers dargelegt und er hält fest, immer sehr schnell gehandelt zu haben, insbesondere auch nach Zustellung des Dispositivs per A-Post. Indes wurde der Beschwerdeführer gemäss den Sachverhaltsfeststellungen im angefochtenen Entscheid durch das Kantonsgericht am 7. Januar 2020 darauf hingewiesen, dass das per Einschreiben versandte Dispositiv am siebten Tag nach dem erfolglosen Zustellversuch als zugestellt gelte ( Art. 138 Abs. 3 lit. a ZPO ). Selbst wenn die im angefochtenen Entscheid als nicht erwahrt erachteten Sachverhaltsschilderungen des Beschwerdeführers (wonach die Abholungseinladung auf seinen Bruder gelautet habe, dieser jedoch abwesend gewesen und deshalb die Sendung nicht abgeholt worden sei) zutreffen sollten, wofür aber keine Willkürrügen erhoben werden, wurde er mithin in Kenntnis gesetzt, dass die Frist, eine schriftliche Urteilsbegründung zu verlangen, bereits am Laufen war. Im Übrigen hätte sie auch noch gewahrt werden können, da sie erst am 13. Januar 2020 ablief.</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