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520/2019 vom 27. Januar 2020</w:t>
      </w:r>
    </w:p>
    <w:p>
      <w:r>
        <w:t>Bundesgericht, 2020-01-27, FR</w:t>
      </w:r>
    </w:p>
    <w:p>
      <w:r>
        <w:rPr>
          <w:b/>
        </w:rPr>
        <w:t xml:space="preserve">Quelle: </w:t>
      </w:r>
      <w:r>
        <w:t>https://mcp.opencaselaw.ch/entscheid/bger_5A_520_2019</w:t>
      </w:r>
    </w:p>
    <w:p>
      <w:r>
        <w:t>FR: TF 5A 520/2019 du 27 janvier 2020</w:t>
      </w:r>
    </w:p>
    <w:p>
      <w:r>
        <w:t>IT: TF 5A 520/2019 del 27 gennaio 2020</w:t>
      </w:r>
    </w:p>
    <w:p>
      <w:pPr>
        <w:pStyle w:val="Heading2"/>
      </w:pPr>
      <w:r>
        <w:t>Regeste</w:t>
      </w:r>
    </w:p>
    <w:p>
      <w:r>
        <w:t>mainlevée définitive de l'opposition | Droit des poursuites et faillites</w:t>
      </w:r>
    </w:p>
    <w:p>
      <w:pPr>
        <w:pStyle w:val="Heading2"/>
      </w:pPr>
      <w:r>
        <w:t>Erwägungen</w:t>
      </w:r>
    </w:p>
    <w:p>
      <w:r>
        <w:rPr>
          <w:b/>
        </w:rPr>
        <w:t>E. 1.1</w:t>
      </w:r>
    </w:p>
    <w:p>
      <w:r>
        <w:t>En tant qu'il confirme le prononcé de mainlevée définitive, l'arrêt attaqué est une décision finale ( art. 90 al. 1 LTF ; ATF 133 III 399 consid. 1.4) rendue en matière de poursuite pour dettes ( art. 72 al. 2 let. a LTF , en relation avec l' art. 80 al. 1 LP ; ATF 134 III 141 consid. 2). Le recours ouvert contre la décision finale se rapporte aussi à la décision de refus de suspension de la procédure prise, préalablement, dans le même arrêt (cf. arrêts 5A_926/2012 du 15 mai 2013 consid. 1.1; 5A_264/2012 du 6 décembre 2012 consid. 1.1; cf. aussi en matière d'assistance judiciaire : arrêts 5A_182/2012 du 24 septembre 2012 consid. 1 et la référence ainsi que 5A_740/2012 du 11 mars 2013 consid. 1.1). Le recours a par ailleurs été déposé en temps utile ( art. 100 al. 1 LTF ) par un tribunal supérieur ayant statué sur recours en dernière instance cantonale ( art. 75 LTF ). La valeur litigieuse atteint manifestement le seuil légal ( art. 74 al. 1 let. b LTF ; ATF 133 III 399 consid. 1.3). Le poursuivi, qui a succombé devant la Cour de justice, a qualité pour recourir ( art. 76 al. 1 LTF ).</w:t>
      </w:r>
    </w:p>
    <w:p>
      <w:r>
        <w:rPr>
          <w:b/>
        </w:rPr>
        <w:t>E. 1.2</w:t>
      </w:r>
    </w:p>
    <w:p>
      <w:r>
        <w:t>Le recours en matière civile des art. 72 ss LTF étant une voie de réforme ( art. 107 al. 2 LTF ), le recourant ne doit pas se borner à demander l'annulation de la décision attaquée; il doit également prendre des conclusions sur le fond du litige. A titre exceptionnel, il est admis qu'il puisse se limiter à prendre des conclusions cassatoires lorsque le Tribunal fédéral, s'il accueillait le recours, ne serait pas en mesure de statuer lui-même sur le fond. Par ailleurs, les conclusions doivent être interprétées selon le principe de la confiance, à la lumière de la motivation du recours ( ATF 136 V 131 consid. 1.2; 134 III 379 consid. 1.3). En l'occurrence, les conclusions principales du recourant portent sur l'annulation de l'arrêt entrepris " au sens des considérants ". A la lecture de son écriture, on croit comprendre qu'il s'en prend à titre principal au refus de suspendre la procédure et demande, dans l'hypothèse où le Tribunal fédéral lui donnerait raison à cet égard, l'annulation de l'arrêt cantonal et le renvoi pour nouvelle décision et qu'en cas de déboutement sur ce point, il conteste la régularité du prononcé de la mainlevée définitive et conclut à titre subsidiaire à la réforme de l'arrêt cantonal en se sens que la requête de mainlevée doit être rejetée. Quant au chef de conclusions subsidiaire qui vise l'annulation de l'arrêt cantonal " en tant qu'il viole le droit d'être entendu " et le renvoi de la cause pour nouvelle décision dans le sens des considérants, il est irrecevable, car dépourvu de toute motivation. Si le recours comprend les intitulés " De l'applicabilité des garanties de procédure, notamment de l'art. 6 § 1 CEDH " et " Droit d'être entendu ", le recourant se borne, pour l'un, à y présenter un exposé général sur les garanties constitutionnelles et, pour l'autre, à se plaindre d'une " appréciation arbitraire des faits " et à plaider la " recevabilité des pièces nouvellement produites devant la Chambre civile ".</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143 V 19 consid. 2.3; 140 III 86 consid. 2).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rPr>
          <w:b/>
        </w:rPr>
        <w:t>E. 2.2</w:t>
      </w:r>
    </w:p>
    <w:p>
      <w:r>
        <w:t>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143 I 310 consid. 2.2 et la référence) - des faits doit se conformer au principe d'allégation sus-indiqué (cf. supra, consid. 2.1), étant rappelé que l'appréciation des preuves ne se révèle arbitraire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136 III 552 consid. 4.2, avec la jurisprudence citée); les critiques appellatoires sont irrecevables ( ATF 141 IV 249 consid. 1.3.1; 140 III 264 consid. 2.3 et les arrêts cités).</w:t>
      </w:r>
    </w:p>
    <w:p>
      <w:r>
        <w:rPr>
          <w:b/>
        </w:rPr>
        <w:t>E. 3</w:t>
      </w:r>
    </w:p>
    <w:p>
      <w:r>
        <w:t>Autant que l'on puisse le comprendre de son renvoi à la " Pièce Ab, consid. 5.2 ", soit à l'arrêt cantonal, le recourant critique le refus de la Cour de justice de suspendre la présente cause jusqu'à droit connu dans la procédure fiscale tendant à obtenir une décision de répartition des éléments imposables entre son épouse et lui-même.</w:t>
      </w:r>
    </w:p>
    <w:p>
      <w:r>
        <w:rPr>
          <w:b/>
        </w:rPr>
        <w:t>E. 3.1</w:t>
      </w:r>
    </w:p>
    <w:p>
      <w:r>
        <w:t>Le refus de suspendre une procédure en application de l' art. 126 CPC est une décision de nature provisionnelle au sens de l' art. 98 LTF (parmi plusieurs : arrêts 5A_1001/2018 du 13 décembre 2018 consid. 3.2; 5A_966/2018 du 28 novembre 2018 consid. 3.2; 5A_555/2018 du 17 octobre 2018 consid. 4.1). Seule la violation de droits constitutionnels peut donc être invoquée, avec les exigences de motivation que cela implique (cf. supra, consid. 2.1).</w:t>
      </w:r>
    </w:p>
    <w:p>
      <w:r>
        <w:rPr>
          <w:b/>
        </w:rPr>
        <w:t>E. 3.2</w:t>
      </w:r>
    </w:p>
    <w:p>
      <w:r>
        <w:t>Annonçant se plaindre d'une " appréciation arbitraire des faits ", le recourant expose, de façon pour le moins confuse, qu'il a " précisément soutenu et démontré " qu'il allait subir un " dommage irréparable, notamment suite à la forte décote causée en cas de vente anticipée des parcelles [...] sises sur la commune de U.________, compte tenu du marché immobilier actuel et de sa réalisation aux enchères forcées ", que " l'absence de prise en compte de ce fait a eu pour résultat de confirmer [la] mainlevé[e] " et que, dans un " contexte où l'insolvabilité de la partie recourante est démontrée de manière indubitable et dès lors que la précédente autorité admet d'elle-même qu'une telle insolvabilité influerait sur l'issue [de la] procédure[...] de mainlevée, son appréciation des faits viole le droit d'être entendu [...] et est sujette à l'arbitraire ( art. 9 Cst. ) ". Il conclut que, " sous l'angle du droit d'être entendu de la partie recourante (art. 6 § 1 CEDH ; art. 29 ss Cst. ), il y a lieu de renvoyer la cause à l'autorité précédente pour qu'elle se prononce sur le bien-fondé des prétentions dont est objet tenant compte de ce préjudice irréparable, si il n'y avait déjà pas lieu de rejeter [la] demand[e] de mainlevées pour les motifs comme suit ". Nonobstant que cette critique est fort peu intelligible, elle reprend en substance celle qui avait été articulée pour fonder la requête d'effet suspensif au recours cantonal, au demeurant admise par la Chambre civile le 20 novembre 2018. Elle ne s'en prend nullement aux motifs qui ont conduit au refus de suspendre la procédure en application de l' art. 126 CPC . Plus particulièrement, elle laisse intactes les constatations selon lesquelles le poursuivi n'a pas soutenu qu'il ne pourrait pas obtenir le remboursement du montant payé à tort dans l'hypothèse où il obtiendrait gain de cause dans la procédure fiscale, ni fait valoir d'une manière motivée en quoi le rejet du recours emporterait une grave violation de son droit à la propriété, et sur lesquelles la Cour de justice s'est fondée pour retenir notamment qu'il n'existait pas de risque de contrariété entre la décision de répartition et le prononcé de mainlevée.</w:t>
      </w:r>
    </w:p>
    <w:p>
      <w:r>
        <w:rPr>
          <w:b/>
        </w:rPr>
        <w:t>E. 4</w:t>
      </w:r>
    </w:p>
    <w:p>
      <w:r>
        <w:t>Le recourant reproche ensuite à la Chambre civile d'avoir déclaré irrecevables les pièces relatives à l'avancement de la procédure administrative de répartition des éléments imposables entre époux. Il affirme en bref qu'elle aurait dû tenir compte de ces " nova " car il a démontré dans le grief exposé ci-devant (cf. supra, consid. 3.2) que la mainlevée définitive lui causerait un dommage irréparable. Ce faisant, il ne discute pas les motifs de l'arrêt entrepris s'agissant de la recevabilité des faits nouveaux au regard de l' art. 326 al. 1 CPC , ni n'indique précisément en quoi il estime que l'autorité précédente aurait méconnu le droit ( ATF 140 III 86 consid. 2) en considérant que les éléments de fait nouveaux découlant des pièces produites, notamment les éléments relatifs aux procédures administratives, étaient irrecevables du fait qu'ils n'étaient pas accessibles au juge civil.</w:t>
      </w:r>
    </w:p>
    <w:p>
      <w:r>
        <w:rPr>
          <w:b/>
        </w:rPr>
        <w:t>E. 5</w:t>
      </w:r>
    </w:p>
    <w:p>
      <w:r>
        <w:t>S'agissant du prononcé de mainlevée définitive, le recourant soulève trois griefs.</w:t>
      </w:r>
    </w:p>
    <w:p>
      <w:r>
        <w:rPr>
          <w:b/>
        </w:rPr>
        <w:t>E. 5.1</w:t>
      </w:r>
    </w:p>
    <w:p>
      <w:r>
        <w:t>Sous le titre " Insolvabilité de la partie recourante et de son conjoint ", il expose d'abord en substance avoir démontré son insolvabilité, de sorte que le titre dont se prévaut l'administration fiscale pour requérir la mainlevée n'en est pas un. Ce grief doit être rejeté. Ainsi que la Chambre civile l'a jugé à juste titre, dès lors que les autorités fiscales n'ont pas rendu de décision de répartition définitive à ce jour - fait non contesté par le recourant -, les bordereaux de taxation ICC, exercices 2000 à 2005, qui sont entrés en force pour le recourant avec l'arrêt du Tribunal fédéral du 24 novembre 2016 (2C_33/2016), valent titre de mainlevée définitive. Selon la jurisprudence, ce n'est en effet que lorsqu'une décision de répartition est rendue qu'elle se substitue à la décision de taxation et constitue un titre de mainlevée définitive (arrêts 5A_556/2018 du 17 octobre 2018 consid. 3.3.2.1 et 3.3.2.2; 5D_117/2017 du 23 janvier 2018 consid. 2.1.2; 5A_888/2014 du 12 février 2015 consid. 5; 5D_169/2013 du 6 décembre 2013 consid. 3.2 et 4.2).</w:t>
      </w:r>
    </w:p>
    <w:p>
      <w:r>
        <w:rPr>
          <w:b/>
        </w:rPr>
        <w:t>E. 5.2</w:t>
      </w:r>
    </w:p>
    <w:p>
      <w:r>
        <w:t>Le recourant expose ensuite que, dans l'arrêt 5A_930/2017 du 17 octobre 2018 consid. 8, le Tribunal fédéral a " rejeté le grief tiré de l'absence de coexistence de séquestres portant sur les mêmes créances et montants au motif que ces deux couches de séquestres, 2010, respectivement 2017, pouvaient coexister tant que la validité d'une desdites couches pouvait être remise en cause ". Il soutient que, " contrairement à ce qu'il en était en octobre 2018, il appert que tant la validité des séquestres 2010 que celle relative aux séquestres 2017 ne peut plus être remise en cause à ce jour " et que, dès lors, " la décision entreprise doit être annulée en tant que les mainlevées aux séquestres 2017 doivent être rejetées ". Ce grief est dépourvu de toute pertinence. Les considérations du Tribunal fédéral auxquelles le recourant se réfère ne ressortissaient pas à la ratio decidendi, mais consistaient en un obiter dictum sans portée juridique particulière (cf. arrêt 5P.343/1993 du 14 février 1994 consid. 3b). Dans l'arrêt cité, la Cour de céans n'a en effet pas rejeté le grief selon lequel le séquestre 2010 était nul, respectivement annulable, motif pris qu'il ne pouvait coexister avec le séquestre de 2017; il l'a déclaré irrecevable car fondé sur des faits nouveaux ( art. 99 al. 1 LTF ). Quoi qu'il en soit, au stade de la mainlevée définitive, le juge n'a pas à trancher la question de la validité du séquestre en validation duquel la poursuite a été introduite. Il doit seulement examiner s'il existe un titre de mainlevée et se pencher sur les preuves libératoires soulevées par le poursuivi.</w:t>
      </w:r>
    </w:p>
    <w:p>
      <w:r>
        <w:rPr>
          <w:b/>
        </w:rPr>
        <w:t>E. 5.3</w:t>
      </w:r>
    </w:p>
    <w:p>
      <w:r>
        <w:t>En tant que le recourant conteste enfin le taux des intérêts moratoires arrêtés à 5% par la Cour de justice en reprenant in extenso la critique formulée dans son recours cantonal, il ne s'en prend pas aux considérations de l'arrêt entrepris, de telle sorte que son grief est irrecevable ( art. 42 al. 2 LTF ; cf. supra, consid. 2.1).</w:t>
      </w:r>
    </w:p>
    <w:p>
      <w:r>
        <w:rPr>
          <w:b/>
        </w:rPr>
        <w:t>E. 6</w:t>
      </w:r>
    </w:p>
    <w:p>
      <w:r>
        <w:t>Vu ce qui précède, le recours doit être rejeté dans la mesure de sa recevabilité, aux frais du recourant ( art. 66 al. 1 LTF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