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5A_520/2011 vom 13. Dezember 2011</w:t>
      </w:r>
    </w:p>
    <w:p>
      <w:r>
        <w:t>Bundesgericht, 2011-12-13, FR</w:t>
      </w:r>
    </w:p>
    <w:p>
      <w:r>
        <w:rPr>
          <w:b/>
        </w:rPr>
        <w:t xml:space="preserve">Quelle: </w:t>
      </w:r>
      <w:r>
        <w:t>https://mcp.opencaselaw.ch/entscheid/bger_5A_520_2011</w:t>
      </w:r>
    </w:p>
    <w:p>
      <w:r>
        <w:t>FR: TF 5A_520/2011 du 13 décembre 2011</w:t>
      </w:r>
    </w:p>
    <w:p>
      <w:r>
        <w:t>IT: TF 5A_520/2011 del 13 dicembre 2011</w:t>
      </w:r>
    </w:p>
    <w:p>
      <w:pPr>
        <w:pStyle w:val="Heading2"/>
      </w:pPr>
      <w:r>
        <w:t>Erwägungen</w:t>
      </w:r>
    </w:p>
    <w:p>
      <w:r>
        <w:rPr>
          <w:b/>
        </w:rPr>
        <w:t>E. 1.1</w:t>
      </w:r>
    </w:p>
    <w:p>
      <w:r>
        <w:t>La décision rendue en matière de mainlevée - définitive ou provisoire - de l'opposition est une décision finale au sens de l' art. 90 LTF puisqu'elle met fin à l'instance ( ATF 134 III 115 consid. 1.1). Elle peut faire l'objet du recours en matière civile ( art. 72 al. 2 let. a LTF ) lorsque la valeur litigieuse atteint, comme dans le cas particulier, au moins 30'000 fr. ( art. 74 al. 1 let. b LTF ; ATF 133 III 399 consid. 1.3). Interjeté en temps utile ( art. 100 al. 1 LTF ) par la partie qui a succombé en instance cantonale ( art. 76 al. 1 LTF ) à l'encontre d'une telle décision prise sur recours en dernière instance cantonale ( art. 75 LTF ), le présent recours est en principe recevable.</w:t>
      </w:r>
    </w:p>
    <w:p>
      <w:r>
        <w:rPr>
          <w:b/>
        </w:rPr>
        <w:t>E. 1.2</w:t>
      </w:r>
    </w:p>
    <w:p>
      <w:r>
        <w:t>L' art. 99 al. 2 LTF déclare irrecevable toute conclusion nouvelle, c'est-à-dire toute conclusion qui n'aurait pas été soumise à l'autorité précédente et qui tend, par conséquent, à élargir l'objet du litige. Il est ainsi exclu de demander davantage ou autre chose que ce qui figure dans les dernières conclusions prises devant l'autorité précédente. Il n'est donc pas possible d'augmenter les conclusions, de les modifier ou d'en ajouter de nouvelles (arrêt 9C_172/2011 du 22 août 2011 consid. 2.1 et les références). La prohibition des conclusions nouvelles ne fait en revanche pas obstacle à la diminution des conclusions prises en dernière instance cantonale (arrêt 4A_565/2009 du 21 janvier 2010 consid. 1.4; 5A_8/2008 du 11 avril 2008 consid. 1.1 et 4A_264/2008 du 23 septembre 2008 consid. 2.3).</w:t>
      </w:r>
    </w:p>
    <w:p>
      <w:r>
        <w:t>En l'espèce, le chef de conclusions tendant à ce que l'intérêt coure dès le 18 février 2010 est irrecevable, parce qu'il est nouveau au sens de ce qui précède. En revanche, les conclusions réduites, visant à ce que la mainlevée définitive soit accordée à concurrence de 153'915 fr. 25 ou 154'753 fr. 65, au lieu de 27'326 fr. 08 seulement comme requis en instance cantonale, sont recevables.</w:t>
      </w:r>
    </w:p>
    <w:p>
      <w:r>
        <w:rPr>
          <w:b/>
        </w:rPr>
        <w:t>E. 1.3</w:t>
      </w:r>
    </w:p>
    <w:p>
      <w:r>
        <w:t>Le Tribunal fédéral applique le droit d'office ( art. 106 al. 1 LTF ), sans être lié ni par les motifs de l'autorité précédente, ni par les moyens des parties. Eu égard à l'exigence de motivation prévue à l' art. 42 al. 1 et 2 LTF , il n'examine cependant que les griefs invoqués, pour autant que les vices ne soient pas évidents. Il n'est pas tenu de traiter toutes les questions juridiques qui se posent, comme le ferait une autorité de première instance, lorsque celles-ci ne sont pas ou plus abordées devant lui. S'agissant de la violation des droits fondamentaux, le recourant doit, dans son mémoire, exposer en quoi consiste la violation alléguée, c'est-à-dire discuter les motifs de la décision entreprise et indiquer en quoi il estime que l'autorité précédente a méconnu de tels droits ("principe d'allégation"; art. 106 al. 2 LTF ; ATF 134 I 83 consid. 3.2; 133 II 249 consid. 1.4.2; 133 IV 286 consid. 1.4).</w:t>
      </w:r>
    </w:p>
    <w:p>
      <w:r>
        <w:rPr>
          <w:b/>
        </w:rPr>
        <w:t>E. 1.4</w:t>
      </w:r>
    </w:p>
    <w:p>
      <w:r>
        <w:t>Le Tribunal fédéral statue par ailleurs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133 II 249 consid. 1.2.2 p. 252) - des faits doit satisfaire au principe d'allégation susmentionné.</w:t>
      </w:r>
    </w:p>
    <w:p>
      <w:r>
        <w:rPr>
          <w:b/>
        </w:rPr>
        <w:t>E. 1.5</w:t>
      </w:r>
    </w:p>
    <w:p>
      <w:r>
        <w:t>Lorsqu'il admet un recours, le Tribunal fédéral peut statuer lui-même sur le fond ( art. 107 al. 2 LTF ) et donc prononcer la mainlevée de l'opposition, s'il dispose de tous les faits nécessaires; en effet, ni le recours en matière civile ni le recours constitutionnel ne sont purement cassatoires (arrêt 5A_62/2009 du 2 juillet 2009 consid. 3).</w:t>
      </w:r>
    </w:p>
    <w:p>
      <w:r>
        <w:rPr>
          <w:b/>
        </w:rPr>
        <w:t>E. 2</w:t>
      </w:r>
    </w:p>
    <w:p>
      <w:r>
        <w:t>Le recourant invoque un fait nouveau, irrecevable comme tel en vertu de l' art. 99 al. 1 LTF , à savoir que dans le cadre de la procédure de séquestre, la cour cantonale a, par arrêt du 11 novembre 2010, réformé le prononcé du juge de paix du 4 mai 2010 en ce sens que le séquestre garantissait une créance de 153'915 fr. 25 plus intérêt à 5 % dès le 18 février 2010. L'arrêt en question, dont le dispositif a été communiqué aux parties le jour même et les considérants le 17 mars 2011, a fait l'objet d'un recours de l'intimée au Tribunal fédéral, qui l'a déclaré irrecevable le 14 juillet 2011, faute de motivation suffisante (5A_289/2011).</w:t>
      </w:r>
    </w:p>
    <w:p>
      <w:r>
        <w:t>Le recourant reproche à ce propos à la cour cantonale d'avoir établi les faits de manière inexacte, mais son grief se résume au seul énoncé du reproche et à la simple mise en parallèle des deux arrêts de la cour cantonale. Il n'indique pas en quoi cette dernière, statuant sur la mainlevée d'opposition dans la poursuite en validation de séquestre ( art. 80 ss LP ), aurait commis arbitraire en omettant de tenir compte d'une décision sur opposition à l'ordonnance de séquestre ( art. 278 LP ). D'ailleurs, dans la poursuite en validation de séquestre, la décision du juge du séquestre ne lie pas le juge de la mainlevée (P.-R. GILLIÉRON, Commentaire de la loi fédérale sur la poursuite pour dettes et la faillite, n. 42 ad art. 278 LP ; HANS REISER, in Basler Kommentar, Bundesgesetz über Schuldbetreibung und Konkurs II, 2e éd., n. 5 ad art. 278 LP ). De surcroît, le recourant ne s'est pas prévalu du fait en question dans son mémoire ampliatif adressé à la cour cantonale le 13 décembre 2010, alors qu'il aurait été en mesure de le faire, ayant en main à ce moment-là le dispositif de l'arrêt du 11 novembre 2010 qui prévoyait que le séquestre garantissait une créance de 153'915 fr. 25 plus intérêt à 5 % dès le 18 février 2010.</w:t>
      </w:r>
    </w:p>
    <w:p>
      <w:r>
        <w:t>Le grief de constatation inexacte des faits est donc irrecevable.</w:t>
      </w:r>
    </w:p>
    <w:p>
      <w:r>
        <w:rPr>
          <w:b/>
        </w:rPr>
        <w:t>E. 3</w:t>
      </w:r>
    </w:p>
    <w:p>
      <w:r>
        <w:t>A teneur de l' art. 67 al. 1 ch. 3 LP ,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La conversion se fait néanmoins au cours de l'offre des devises du jour de la réquisition de poursuite ( ATF 135 III 88 consid. 4.1 et les références citées). Du moment que la conversion en valeur légale suisse est tenue pour une règle d'ordre public, il n'y a pas de place pour un choix, servant uniquement les intérêts du poursuivant, entre le cours au moment de la réquisition de poursuite et le cours à l'échéance de sa prétention, l' art. 84 al. 2 CO ne s'appliquant pas (GILLIÉRON, op. cit., n. 60 ad art. 67 LP ). C'est donc à juste titre que le recourant soutient qu'en convertissant le montant de la créance de 59'996 GBP 60 (moitié de 119'992 GBP 60) au 26 novembre 2007, date d'entrée en force du jugement de divorce, et non au 11 février 2010, date de la réquisition de poursuite en cause, la cour cantonale a violé le droit fédéral.</w:t>
      </w:r>
    </w:p>
    <w:p>
      <w:r>
        <w:t>Le taux de conversion des monnaies est un fait notoire, qui ne doit être ni allégué ni prouvé. Il peut notamment être contrôlé par chacun sur internet, qui permet d'accéder rapidement au taux de conversion en vigueur à une date donnée. Ainsi, selon le site http://www.fxtop.com, qui donne les taux officiels diffusés par la Banque centrale européenne (cf. ATF 135 III 88 consid. 4.1 in fine), le cours de la livre britannique par rapport au franc suisse était, au 11 février 2010, date de la réquisition de poursuite en cause, de 1,670997, et 59'996 GBP 30 équivalaient alors à 100'253 fr. 65. Ces valeurs de conversion alléguées par le recourant ne sont d'ailleurs contestées ni par la cour cantonale ni par l'intimée.</w:t>
      </w:r>
    </w:p>
    <w:p>
      <w:r>
        <w:t>L'arrêt attaqué doit en conséquence être réformé dans ce sens que la mainlevée définitive de l'opposition est prononcée à concurrence d'un montant de 154'753 fr. 65 (70'000 + 100'253.65 - 15'500).</w:t>
      </w:r>
    </w:p>
    <w:p>
      <w:r>
        <w:rPr>
          <w:b/>
        </w:rPr>
        <w:t>E. 4</w:t>
      </w:r>
    </w:p>
    <w:p>
      <w:r>
        <w:t>Contrairement à ce que demande le recourant, l'arrêt attaqué n'a en revanche pas à être corrigé dans le sens que le cours des intérêts à 5 % aurait commencé à courir le 18 février 2010. En effet, comme il a été relevé plus haut (consid. 1.2 et 2), cette prétention constitue un chef de conclusions irrecevable et se fonde sur un fait nouveau irrecevable.</w:t>
      </w:r>
    </w:p>
    <w:p>
      <w:r>
        <w:rPr>
          <w:b/>
        </w:rPr>
        <w:t>E. 5</w:t>
      </w:r>
    </w:p>
    <w:p>
      <w:r>
        <w:t>Il résulte de ce qui précède que le recours doit être partiellement admis dans le sens de ses conclusions subsidiaires et rejeté pour le surplus.</w:t>
      </w:r>
    </w:p>
    <w:p>
      <w:r>
        <w:t>L'intimée, qui succombe, doit être chargée des frais judiciaires ( art. 66 al. 1 LTF ) et condamnée à verser des dépens au recourant ( art. 68 al. 1 LTF ).</w:t>
      </w:r>
    </w:p>
    <w:p>
      <w:r>
        <w:t>Une modification de la répartition des frais et dépens de l'instance cantonale, suite à la réforme de l'arrêt attaqué ( art. 67 et 68 al. 5 LTF ), ne saurait être envisagée au vu des conclusions prises par le recourant en instance cantonale et du résultat qu'il a finalement obtenu.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