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5A_517/2021 vom 1. Juli 2021</w:t>
      </w:r>
    </w:p>
    <w:p>
      <w:r>
        <w:t>Bundesgericht, 2021-07-01, DE</w:t>
      </w:r>
    </w:p>
    <w:p>
      <w:r>
        <w:rPr>
          <w:b/>
        </w:rPr>
        <w:t xml:space="preserve">Quelle: </w:t>
      </w:r>
      <w:r>
        <w:t>https://mcp.opencaselaw.ch/entscheid/bger_5A_517_2021</w:t>
      </w:r>
    </w:p>
    <w:p>
      <w:r>
        <w:t>FR: TF 5A_517/2021 du 1 juillet 2021</w:t>
      </w:r>
    </w:p>
    <w:p>
      <w:r>
        <w:t>IT: TF 5A_517/2021 del 1 luglio 2021</w:t>
      </w:r>
    </w:p>
    <w:p>
      <w:pPr>
        <w:pStyle w:val="Heading2"/>
      </w:pPr>
      <w:r>
        <w:t>Erwägungen</w:t>
      </w:r>
    </w:p>
    <w:p>
      <w:r>
        <w:rPr>
          <w:b/>
        </w:rPr>
        <w:t>E. 1</w:t>
      </w:r>
    </w:p>
    <w:p>
      <w:r>
        <w:t>Angefochten ist ein kantonal letztinstanzlicher Entscheid ( Art. 75 Abs. 1 BGG ), mit welchem die unentgeltliche Rechtspflege verweigert wird. Dies ist ein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Bei dieser handelt es sich um eine Scheidung, gegen welche die Beschwerde in Zivilsachen offen stünde ( Art. 72 Abs. 1 und Art. 90 BGG ). Diese ist somit grundsätzlich gegeben.</w:t>
      </w:r>
    </w:p>
    <w:p>
      <w:r>
        <w:rPr>
          <w:b/>
        </w:rPr>
        <w:t>E. 2</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Das Kantonsgericht hat erwogen, die Berufung sei mit an Sicherheit grenzender Wahrscheinlichkeit aussichtslos, weil keine genügenden Rechtsbegehren gestellt würden, indem nicht erklärt werde, welche Änderungen im Dispositiv des erstinstanzlichen Scheidungsurteils verlangt würden, sondern die Rechtsbegehren äusserst vage blieben und insbesondere nicht beziffert seien.</w:t>
      </w:r>
    </w:p>
    <w:p>
      <w:r>
        <w:rPr>
          <w:b/>
        </w:rPr>
        <w:t>E. 4</w:t>
      </w:r>
    </w:p>
    <w:p>
      <w:r>
        <w:t>Mit diesen Ausführungen setzt sich die Beschwerdeführerin nicht ansatzweise auseinander. Sie äussert sich teils zu nicht entscheidrelevanten bzw. ausserhalb des Anfechtungsgegenstandes stehenden Dingen (entgegen dem angefochtenen Entscheid habe sie die Berufung nicht am 17. Mai 2019, sondern am 17. Mai 2021 eingereicht; die erstinstanzlichen Rechtsverzögerungen und Rechtsverweigerungen bzw. die Erschwerung der unentgeltlichen Rechtspflege mit einem falsch berechneten Selbstbehalt habe zu ihrer Verschuldung geführt; u.ä.m.) und übt allgemeine Kritik, welche nicht geeignet ist, eine Rechtsverletzung im Zusammenhang mit der Verweigerung der unentgeltlichen Rechtspflege für das Berufungsverfahren darzutun (allfällige Formfehler seien die Folge der erstinstanzlich verweigerten unentgeltlichen Rechtspflege und umso mehr sei die unentgeltliche Rechtspflege für das Berufungsverfahren nötig; sie habe keine Rückstellungen von Fr. 500.-- pro Monat machen können; es sei eine Rechtsgehörsverweigerung, wenn man von einem Laien eine perfekte juristische Form verlange; u.ä.m.). Es wäre vielmehr darzutun, inwiefern berufungsweise wenigstens sinngemäss nachvollziehbare Rechtsbegehren gestellt worden wären. Indes sticht ins Auge, dass nicht nur keine Rechtsbegehren gestellt wurden, die so umsetzbar wären, sondern diese selbst bei bestem Willen nicht erkennen lassen, worauf die Beschwerdeführerin eigentlich abzielt. Insofern ist keine Rechtsverletzung erkennbar, wenn das Kantonsgericht die Berufung als aussichtslos betrachtet und als Folge die unentgeltliche Rechtspflege verweigert hat.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