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5A_516/2025 vom 13. August 2025</w:t>
      </w:r>
    </w:p>
    <w:p>
      <w:r>
        <w:t>Bundesgericht, 2025-08-13, DE</w:t>
      </w:r>
    </w:p>
    <w:p>
      <w:r>
        <w:rPr>
          <w:b/>
        </w:rPr>
        <w:t xml:space="preserve">Quelle: </w:t>
      </w:r>
      <w:r>
        <w:t>https://mcp.opencaselaw.ch/entscheid/bger_5A_516_2025</w:t>
      </w:r>
    </w:p>
    <w:p>
      <w:r>
        <w:t>FR: TF 5A_516/2025 du 13 août 2025</w:t>
      </w:r>
    </w:p>
    <w:p>
      <w:r>
        <w:t>IT: TF 5A_516/2025 del 13 agosto 2025</w:t>
      </w:r>
    </w:p>
    <w:p>
      <w:pPr>
        <w:pStyle w:val="Heading2"/>
      </w:pPr>
      <w:r>
        <w:t>Erwägungen</w:t>
      </w:r>
    </w:p>
    <w:p>
      <w:r>
        <w:rPr>
          <w:b/>
        </w:rPr>
        <w:t>E. 1</w:t>
      </w:r>
    </w:p>
    <w:p>
      <w:r>
        <w:t>Beim Ausgangsentscheid geht es um die Sistierung des Besuchsrechts. Nur dieses Thema kann den möglichen Anfechtungsgegenstand bilden und auf die darüber hinausgehenden Begehren und Vorbringen kann von vornherein nicht eingetreten werden ( BGE 136 II 457 E. 4.2; 136 V 362 E. 3.4.2 ; 142 I 155 E. 4.4.2).</w:t>
      </w:r>
    </w:p>
    <w:p>
      <w:r>
        <w:rPr>
          <w:b/>
        </w:rPr>
        <w:t>E. 2</w:t>
      </w:r>
    </w:p>
    <w:p>
      <w:r>
        <w:t>In Bezug auf den möglichen Anfechtungsgegenstand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Eine solche Darlegung findet sich in der Beschwerde nicht. Der Beschwerdeführer macht abstrakt eine Verletzung des rechtlichen Gehörs und des Rechtes auf Familienleben geltend. Inwiefern das Obergericht konkret gegen Recht verstossen oder verfassungsmässige Rechte verletzt haben soll, legt der Beschwerdeführer nicht dar.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