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516/2016 vom 29. Juli 2016</w:t>
      </w:r>
    </w:p>
    <w:p>
      <w:r>
        <w:t>Bundesgericht, 2016-07-29, DE</w:t>
      </w:r>
    </w:p>
    <w:p>
      <w:r>
        <w:rPr>
          <w:b/>
        </w:rPr>
        <w:t xml:space="preserve">Quelle: </w:t>
      </w:r>
      <w:r>
        <w:t>https://mcp.opencaselaw.ch/entscheid/bger_5A_516_2016</w:t>
      </w:r>
    </w:p>
    <w:p>
      <w:r>
        <w:t>FR: TF 5A 516/2016 du 29 juillet 2016</w:t>
      </w:r>
    </w:p>
    <w:p>
      <w:r>
        <w:t>IT: TF 5A 516/2016 del 29 luglio 2016</w:t>
      </w:r>
    </w:p>
    <w:p>
      <w:pPr>
        <w:pStyle w:val="Heading2"/>
      </w:pPr>
      <w:r>
        <w:t>Regeste</w:t>
      </w:r>
    </w:p>
    <w:p>
      <w:r>
        <w:t>Abholungsaufforderung des Betreibungsamts betreffend Zahlungsbefehl | Schuldbetreibungs- und Konkursrecht</w:t>
      </w:r>
    </w:p>
    <w:p>
      <w:pPr>
        <w:pStyle w:val="Heading2"/>
      </w:pPr>
      <w:r>
        <w:t>Erwägungen</w:t>
      </w:r>
    </w:p>
    <w:p>
      <w:r>
        <w:rPr>
          <w:b/>
        </w:rPr>
        <w:t>E. 1.1</w:t>
      </w:r>
    </w:p>
    <w:p>
      <w:r>
        <w:t>Angefochten ist ein Entscheid der kantonalen Aufsichtsbehörde, welcher das Vorgehen des Betreibungsamtes betrifft. Entscheide kantonaler Aufsichtsbehörden in Schuldbetreibungs- und Konkurssachen unterliegen unabhängig eines Streitwertes der Beschwerde in Zivilsachen ( Art. 72 Abs. 2 lit. a BGG i.V.m. Art. 19 SchKG ; Art. 74 Abs. 2 lit. c BGG ).</w:t>
      </w:r>
    </w:p>
    <w:p>
      <w:r>
        <w:rPr>
          <w:b/>
        </w:rPr>
        <w:t>E. 1.2</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 mit Hinweisen).</w:t>
      </w:r>
    </w:p>
    <w:p>
      <w:r>
        <w:rPr>
          <w:b/>
        </w:rPr>
        <w:t>E. 2</w:t>
      </w:r>
    </w:p>
    <w:p>
      <w:r>
        <w:t>Der vorliegende Entscheid der oberen Aufsichtsbehörde hat die Aufforderung des Betreibungsamtes zur Abholung eines Zahlungsbefehls zum Gegenstand.</w:t>
      </w:r>
    </w:p>
    <w:p>
      <w:r>
        <w:rPr>
          <w:b/>
        </w:rPr>
        <w:t>E. 2.1</w:t>
      </w:r>
    </w:p>
    <w:p>
      <w:r>
        <w:t>Nach der bundesgerichtlichen Rechtsprechung darf der Betriebene aufgefordert werden, den für ihn bestimmten Zahlungsbefehl auf dem Betreibungsamt abzuholen. Dabei handelt es sich lediglich um eine Mitteilung, dass die entsprechende Betreibungsurkunde für ihn bereitliege. Eine gesetzliche Pflicht des Betriebenen zur Entgegennahme auf dem Betreibungsamt besteht nicht ( BGE 138 III 25 E. 2.1 S. 26; 136 III 155 E. 3.1 S. 156). Die nicht über eine solche Mitteilung hinausgehende Aufforderung zur Abholung des Zahlungsbefehls auf dem Amt ist keine Verfügung im Sinne von Art. 17 SchKG (Urteil 5A_268/2007 vom 16. August 2007 E. 2, in: BlSchK 2008 S. 130).</w:t>
      </w:r>
    </w:p>
    <w:p>
      <w:r>
        <w:rPr>
          <w:b/>
        </w:rPr>
        <w:t>E. 2.2</w:t>
      </w:r>
    </w:p>
    <w:p>
      <w:r>
        <w:t>In Anwendung dieser Rechtsprechung ist die untere Aufsichtsbehörde zum Schluss gelangt, die (keine Zwangsandrohung enthaltende) Abholungsaufforderung vom 14. September 2015 stelle kein taugliches Anfechtungsobjekt dar. Auch soweit der Beschwerdeführer das Unterbleiben der sofortigen Zustellung des Zahlungsbefehls rüge, könne auf die Beschwerde nicht eingetreten werden, fehle es dem Beschwerdeführer als Schuldner doch diesbezüglich an einem schutzwürdigen Interesse an der Beschwerdeerhebung. Die obere Aufsichtsbehörde hat diese Auffassung bestätigt und ist (aus der Sicht des betriebenen Schuldners) ebenfalls von einem fehlenden Anfechtungsobjekt bzw. einem fehlenden Rechtsschutzinteresse ausgegangen.</w:t>
      </w:r>
    </w:p>
    <w:p>
      <w:r>
        <w:rPr>
          <w:b/>
        </w:rPr>
        <w:t>E. 2.3</w:t>
      </w:r>
    </w:p>
    <w:p>
      <w:r>
        <w:t>Der Beschwerdeführer besteht demgegenüber auf seinem Standpunkt, die Abholungsaufforderung vom 14. September 2015 sei aufgrund der konkreten Umstände als (rechtswidrige) Verfügung zu qualifizieren. Inwiefern die Vorinstanz die oben erwähnte und vom Beschwerdeführer selbst angerufene bundesgerichtliche Rechtsprechung missachtet haben soll, ist jedoch nicht ersichtlich und wird vom Beschwerdeführer auch nicht nachvollziehbar dargetan; sein Hinweis auf die Verwendung des fettgedruckten Wortes "Abholungsaufforderung" im Betreff des strittigen Schreibens vermag daran nichts zu ändern. Darüber hinaus behauptet der Beschwerdeführer völlig zusammenhangslos und ohne nachvollziehbare Begründung zahlreiche Rechts- und Verfassungsverletzungen (u.a. verbotene "Folter", Verstoss gegen die "Achtung der Privatsphäre", verbotene "Zwangs- und Pflichtarbeit", "Willkür", ausserdem Verletzung des "rechtlichen Gehörs", des "Anspruchs auf Hilfe und Betreuung", der "Untersuchungsmaxime", und des "Vertrauensschutzprinzips"). Mit solch allgemein gehaltenen und grösstenteils sachfremden Vorbringen lässt sich eine Beschwerde in Zivilsachen nicht begründen ( Art. 42 Abs. 2 und Art. 42 Abs. 7 BGG ), weshalb auf dieses Rechtsmittel nicht eingetreten werden kann.</w:t>
      </w:r>
    </w:p>
    <w:p>
      <w:r>
        <w:rPr>
          <w:b/>
        </w:rPr>
        <w:t>E. 3</w:t>
      </w:r>
    </w:p>
    <w:p>
      <w:r>
        <w:t>Bei diesem Ausgang des Verfahrens trägt der Beschwerdeführer die Kosten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 Anspruch auf Entschädigung für das bundesgerichtliche Verfahren hat er schon deshalb nicht, weil er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