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5A_515/2025 vom 10. Juli 2025</w:t>
      </w:r>
    </w:p>
    <w:p>
      <w:r>
        <w:t>Bundesgericht, 2025-07-10, DE</w:t>
      </w:r>
    </w:p>
    <w:p>
      <w:r>
        <w:rPr>
          <w:b/>
        </w:rPr>
        <w:t xml:space="preserve">Quelle: </w:t>
      </w:r>
      <w:r>
        <w:t>https://mcp.opencaselaw.ch/entscheid/bger_5A_515_2025</w:t>
      </w:r>
    </w:p>
    <w:p>
      <w:r>
        <w:t>FR: TF 5A_515/2025 du 10 juillet 2025</w:t>
      </w:r>
    </w:p>
    <w:p>
      <w:r>
        <w:t>IT: TF 5A_515/2025 del 10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angefochtene Entscheid wurde der Beschwerdeführerin am 19. Mai 2025 zugestellt. Die erst am 25. Juni 2025 erhobene Beschwerde erweist sich somit als verspätet (Art. 44 Abs. 1 i.V.m. Art. 100 Abs. 1 BGG ).</w:t>
      </w:r>
    </w:p>
    <w:p>
      <w:r>
        <w:rPr>
          <w:b/>
        </w:rPr>
        <w:t>E. 2</w:t>
      </w:r>
    </w:p>
    <w:p>
      <w:r>
        <w:t>Sodann mangelt es der Beschwerde auch an einer hinreichenden Begründung: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t>Die Beschwerdeführerin hält fest, sie sei mit dem Beschluss nicht einverstanden, v.a. mit den Gebühren nicht, denn sie sei eine IV-Rentnerin. Indes wurden im angefochtenen Beschluss keine Gebühren erhoben und die Beschwerdeführerin legt nicht dar, inwiefern sie durch diesen anderweitig beschwert sein oder eine Rechtsverletzung vorliegen könnte.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