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5A_513/2024 vom 26. August 2024</w:t>
      </w:r>
    </w:p>
    <w:p>
      <w:r>
        <w:t>Bundesgericht, 2024-08-26, DE</w:t>
      </w:r>
    </w:p>
    <w:p>
      <w:r>
        <w:rPr>
          <w:b/>
        </w:rPr>
        <w:t xml:space="preserve">Quelle: </w:t>
      </w:r>
      <w:r>
        <w:t>https://mcp.opencaselaw.ch/entscheid/bger_5A_513_2024</w:t>
      </w:r>
    </w:p>
    <w:p>
      <w:r>
        <w:t>FR: TF 5A_513/2024 du 26 août 2024</w:t>
      </w:r>
    </w:p>
    <w:p>
      <w:r>
        <w:t>IT: TF 5A_513/2024 del 26 agosto 2024</w:t>
      </w:r>
    </w:p>
    <w:p>
      <w:pPr>
        <w:pStyle w:val="Heading2"/>
      </w:pPr>
      <w:r>
        <w:t>Erwägungen</w:t>
      </w:r>
    </w:p>
    <w:p>
      <w:r>
        <w:rPr>
          <w:b/>
        </w:rPr>
        <w:t>E. 1</w:t>
      </w:r>
    </w:p>
    <w:p>
      <w:r>
        <w:t>Neue Begehren sind vor Bundesgericht unzulässig ( Art. 99 Abs. 2 BGG ). Soweit mehr oder anderes verlangt wird, als von der Vorinstanz beurteilt wurde, ist auf die Beschwerde von vornherein nicht einzutreten ( BGE 136 II 457 E. 4.2; 136 V 362 E. 3.4.2 ; 142 I 155 E. 4.4.2).</w:t>
      </w:r>
    </w:p>
    <w:p>
      <w:r>
        <w:t>Ebenfalls von vornherein nicht einzutreten ist auf die Beschwerde, soweit (namentlich im Zusammenhang mit der elektronischen Zustellung) das Bezirksgericht kritisiert wird; Anfechtungsobjekt kann ausschliesslich der kantonal letztinstanzliche Akt bilden ( Art. 75 Abs. 1 BGG ).</w:t>
      </w:r>
    </w:p>
    <w:p>
      <w:r>
        <w:rPr>
          <w:b/>
        </w:rPr>
        <w:t>E. 2</w:t>
      </w:r>
    </w:p>
    <w:p>
      <w:r>
        <w:t>Im Übrigen hat die Beschwerde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3</w:t>
      </w:r>
    </w:p>
    <w:p>
      <w:r>
        <w:t>An einer solchen Auseinandersetzung mangelt es zunächst in Bezug auf das Gesuch um superprovisorische Gewährung der Ferien. Das Obergericht hat erwogen, dabei handle es sich von der Sache her um die Vollstreckung des bestehenden Besuchs- und Ferienrechts, für welche es nicht zuständig sei. Der Beschwerdeführer legt diesbezüglich keine Rechtsverletzung dar, wenn er sich auf das Vorbringen beschränkt, er würde sich nicht an das Obergericht wenden, wenn er die Ferien beim Bezirksgericht oder beim Beistand durchsetzen könnte. Im Übrigen sind Verfügungen über superprovisorische Massnahmen ohnehin grundsätzlich nicht beim Bundesgericht anfechtbar ( BGE 137 III 417 E. 1.2; 139 III 86 E. 1.1.1; 140 III 289 E. 1.1).</w:t>
      </w:r>
    </w:p>
    <w:p>
      <w:r>
        <w:rPr>
          <w:b/>
        </w:rPr>
        <w:t>E. 4</w:t>
      </w:r>
    </w:p>
    <w:p>
      <w:r>
        <w:t>Ebenso mangelt es an einer sachgerichteten Auseinandersetzung mit der oberinstanzlichen Erwägung, das Gesuch um unentgeltliche Rechtspflege sei bereits mit Kammerbeschluss vom 19. Juni 2024 abgewiesen worden und der Beschwerdeführer trage nichts vor, was eine Wiedererwägung rechtfertigen könne. Mit der Behauptung, er könne ein neues Gesuch stellen, weil er die Berufung noch habe ergänzen dürfen, lässt sich keine Verletzung des Anspruches auf unentgeltliche Rechtspflege begründen und es liegt insbesondere auch keine Gehörsverletzung vor, denn der Beschwerdeführer versäumt darzulegen, inwiefern er der Vorinstanz bei seinem zweiten Gesuch veränderte Tatsachen unterbreitet und das Obergericht diese in Verletzung des Willkürverbotes verkannt hätte.</w:t>
      </w:r>
    </w:p>
    <w:p>
      <w:r>
        <w:t>Angesichts der formellen Rechtskraft des obergerichtlichen Beschlusses über die unentgeltliche Rechtspflege geht sodann das Vorbringen, das Obergericht verletze das rechtliche Gehör, weil es genau wisse, dass er den einverlangten Vorschuss nicht bezahlen könne, an der Sache vorbei. Nichts zur Sache tun schliesslich die wirren Ausführungen über eine "Vorschuss-unentgeltliche-Rechtspflege", welche offenbar darauf zielen, dass trotz abgewiesenem Gesuch um unentgeltliche Rechtspflege kein Kostenvorschuss einverlangt werden dürfe.</w:t>
      </w:r>
    </w:p>
    <w:p>
      <w:r>
        <w:rPr>
          <w:b/>
        </w:rPr>
        <w:t>E. 5</w:t>
      </w:r>
    </w:p>
    <w:p>
      <w:r>
        <w:t>Nach dem Gesagten ist auf die Beschwerde im vereinfachten Verfahren nach Art. 108 Abs. 1 lit. b BGG nicht einzutreten.</w:t>
      </w:r>
    </w:p>
    <w:p>
      <w:r>
        <w:rPr>
          <w:b/>
        </w:rPr>
        <w:t>E. 6</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