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5A_513/2019 vom 9. Juli 2019</w:t>
      </w:r>
    </w:p>
    <w:p>
      <w:r>
        <w:t>Bundesgericht, 2019-07-09, DE</w:t>
      </w:r>
    </w:p>
    <w:p>
      <w:r>
        <w:rPr>
          <w:b/>
        </w:rPr>
        <w:t xml:space="preserve">Quelle: </w:t>
      </w:r>
      <w:r>
        <w:t>https://mcp.opencaselaw.ch/entscheid/bger_5A_513_2019</w:t>
      </w:r>
    </w:p>
    <w:p>
      <w:r>
        <w:t>FR: TF 5A_513/2019 du 9 juillet 2019</w:t>
      </w:r>
    </w:p>
    <w:p>
      <w:r>
        <w:t>IT: TF 5A_513/2019 del 9 luglio 2019</w:t>
      </w:r>
    </w:p>
    <w:p>
      <w:pPr>
        <w:pStyle w:val="Heading2"/>
      </w:pPr>
      <w:r>
        <w:t>Erwägungen</w:t>
      </w:r>
    </w:p>
    <w:p>
      <w:r>
        <w:rPr>
          <w:b/>
        </w:rPr>
        <w:t>E. 1</w:t>
      </w:r>
    </w:p>
    <w:p>
      <w:r>
        <w:t>A.________ reicht zwar die Beschwerde im Namen von C.________ und als dessen gesetzliche Vertreterin ein. Indes geht es im kantonalen Verfahren um das Besuchsrecht und entsprechend trat dort die Mutter und nicht das Kind als Verfahrenspartei auf. Sie spricht denn auch in der beim Bundesgericht eingereichten Beschwerde durchwegs in der ich-Form. Es drängt sich auf, auch im bundesgerichtlichen Verfahren die Mutter als Beschwerdeführerin anzusehen und nicht das Kind.</w:t>
      </w:r>
    </w:p>
    <w:p>
      <w:r>
        <w:rPr>
          <w:b/>
        </w:rPr>
        <w:t>E. 2</w:t>
      </w:r>
    </w:p>
    <w:p>
      <w:r>
        <w:t>Soweit mehr oder anderes verlangt wird, als von der Vorinstanz beurteilt wurde, ist darauf nicht einzutreten ( BGE 136 II 457 E. 4.2 S. 462 f. ; 142 I 155 E. 4.4.2 S. 156). Angefochten ist ein Entscheid über die aufschiebende Wirkung im kantonalen Berufungsverfahren, während die Beschwerdeführerin ein Begehren in der Sache stellt, dass nämlich dem Beschwerdegegner kein Besuchsrecht erteilt werden dürfe. Die Beschwerde scheitert folglich bereits daran, dass kein sich auf das Anfechtungsobjekt beziehendes Rechtsbegehren gestellt wird. Im Übrigen fehlt es aber auch an einer hinreichenden Begründung der Beschwerde (dazu E. 3 und 4).</w:t>
      </w:r>
    </w:p>
    <w:p>
      <w:r>
        <w:rPr>
          <w:b/>
        </w:rPr>
        <w:t>E. 3</w:t>
      </w:r>
    </w:p>
    <w:p>
      <w:r>
        <w:t>Beschwerdegegenstand bildet wie gesagt ein Entscheid über die aufschiebende Wirkung, welcher eine vorsorgliche Massnahme im Sinn von Art. 98 BGG darstellt ( BGE 134 II 192 E. 1.5 S. 197; Urteil 9C_38/2017 vom 21. März 2017 E. 1.2); darüber hinaus ist vorliegend auch bereits der zugrunde liegende Sachentscheid als vorsorgliche Massnahme ergangen. Bei vorsorglichen Massnahmen können gemäss Art. 98 BGG nur verfassungsmässige Rechte als verletzt gerügt werden, wofür das strikte Rügepflicht gemäss Art. 106 Abs. 2 BGG gilt. Dies bedeutet, dass das Bundesgericht nur klar und detailliert erhobene und soweit möglich belegte Rügen prüft, während es auf ungenügend begründete Rügen und rein appellatorische Kritik am angefochtenen Entscheid nicht eintritt ( BGE 134 II 244 E. 2.2 S. 246; 142 III 364 E. 2.4 S. 368).</w:t>
      </w:r>
    </w:p>
    <w:p>
      <w:r>
        <w:t>Gleichzeitig geht es bei der aufschiebenden Wirkung um einen Zwischenentscheid (vgl. BGE 134 II 192 E. 1.5 S. 197; Urteil 9C_38/2017 vom 21. März 2017 E. 1.2), der nur unter den besonderen Voraussetzungen von Art. 93 Abs. 1 BGG mit Beschwerde beim Bundesgericht angefochten werden kann, wobei diese in der Beschwerde darzutun sind ( BGE 137 III 324 E. 1.1 S. 329; 141 IV 289 E. 1.3 S. 292).</w:t>
      </w:r>
    </w:p>
    <w:p>
      <w:r>
        <w:rPr>
          <w:b/>
        </w:rPr>
        <w:t>E. 4</w:t>
      </w:r>
    </w:p>
    <w:p>
      <w:r>
        <w:t>Weder äussert sich die Beschwerdeführerin zu den Voraussetzungen von Art. 93 Abs. 1 BGG noch macht sie irgendwelche Verfassungsverletzungen geltend. Vielmehr äussert sie sich rein appellatorisch, mithin in prozessual unzulässiger Form. Überdies beziehen sich die Ausführungen nicht auf die Frage der aufschiebenden Wirkung, sondern direkt auf die Sache selbst, die mangels einer betreffenden Beurteilung durch das Kantonsgericht noch gar nicht Anfechtungsobjekt sein kann (dass sie im Strafverfahren beim Bundesgericht Beschwerde erhoben habe und der Angeklagte durch den Entscheid des Kantonsgerichtes vom 10. Mai 2019 von den begründeten Anschuldigungen nicht entlastet sei; dass ihre beiden Kinder auffällig seien und körperliche und seelische Verletzungen hätten; dass ihr fälschlich unterstellt werde, ihre Tochter suggestiv beeinflusst zu haben, obwohl der sexuelle Missbrauch klar sei; dass es sowieso um den Sohn gehe; dass C.________ den Vater ablehne und heftige Reaktionen zeige; dass der Vater einfach seine Taten abstreite; dass die Strafbehörden auf dessen Bestreitungen statt auf die klare Faktenlage abstellen würden; dass C.________ durch Besuchskontakte retraumatisiert würde, was die Hausärztin klar festhalte; dass auf keinen Fall ein Besuchsrecht eingeräumt werden dürfe und C.________ auch emotional geschützt werden müsse).</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Mit dem Entscheid in der Sache wird das für das bundesgerichtliche Verfahren gestellte Gesuch um aufschiebende Wirkung gegenstandslos.</w:t>
      </w:r>
    </w:p>
    <w:p>
      <w:r>
        <w:rPr>
          <w:b/>
        </w:rPr>
        <w:t>E. 7</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8</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