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5A_512/2024 vom 11. September 2024</w:t>
      </w:r>
    </w:p>
    <w:p>
      <w:r>
        <w:t>Bundesgericht, 2024-09-11, DE</w:t>
      </w:r>
    </w:p>
    <w:p>
      <w:r>
        <w:rPr>
          <w:b/>
        </w:rPr>
        <w:t xml:space="preserve">Quelle: </w:t>
      </w:r>
      <w:r>
        <w:t>https://mcp.opencaselaw.ch/entscheid/bger_5A_512_2024</w:t>
      </w:r>
    </w:p>
    <w:p>
      <w:r>
        <w:t>FR: TF 5A_512/2024 du 11 septembre 2024</w:t>
      </w:r>
    </w:p>
    <w:p>
      <w:r>
        <w:t>IT: TF 5A_512/2024 del 11 settembre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ein kantonal letztinstanzlicher Entscheid betreffend die Wiedereinsetzung der Kindesvertreterin. Dieser stellt, weil er das Zivilverfahren nicht abschliesst, keinen End-, sondern bloss einen Zwischenentscheid dar, der nur unter den besonderen Voraussetzungen von Art. 93 Abs. 1 BGG mit Beschwerde beim Bundesgericht angefochten werden kann (ausführlich zum nicht wieder gutzumachenden Nachteil insb. BGE 142 III 798 E. 2.2), wobei diese in der Beschwerde darzutun sind ( BGE 137 III 324 E. 1.1; 141 III 80 E. 1.2; 141 IV 289 E. 1.3).</w:t>
      </w:r>
    </w:p>
    <w:p>
      <w:r>
        <w:rPr>
          <w:b/>
        </w:rPr>
        <w:t>E. 2</w:t>
      </w:r>
    </w:p>
    <w:p>
      <w:r>
        <w:t>Der Beschwerdeführer macht diesbezüglich geltend, die Kindesvertreterin vertrete nicht die Interessen der Kinder und sie werde vermutlich Anträge stellen, welche in Widerspruch zum Kindeswohl stünden.</w:t>
      </w:r>
    </w:p>
    <w:p>
      <w:r>
        <w:t>Abgesehen davon, dass diese Behauptung vor dem Hintergrund der aktenkundigen Tatsachen verquer ist, macht der Beschwerdeführer damit keine eigenen nicht wieder gutzumachenden Nachteile geltend (zu dieser Erfordernis Urteile 4A_151/2022 vom 1. April 2022 E. 2.2; 1B_390/2022 vom 28. September 2022 E. 1.6; 1B_127/2022 vom 28. Oktober 2022 E. 3.1; 7B_353/2023 vom 14. September 2023 E. 1.3), sondern er setzt (ebenso offensichtlich wie falsch) seine eigenen Interessen mit dem Kindeswohl gleich.</w:t>
      </w:r>
    </w:p>
    <w:p>
      <w:r>
        <w:rPr>
          <w:b/>
        </w:rPr>
        <w:t>E. 3</w:t>
      </w:r>
    </w:p>
    <w:p>
      <w:r>
        <w:t>Mithin werden die Eintretensvoraussetzungen offensichtlich nicht hinreichend begründet und als Folge ist ohne Prüfung der materiellen Vorbringen im vereinfachten Verfahren nach Art. 108 Abs. 1 lit. b BGG auf die Beschwerde nicht einzutreten.</w:t>
      </w:r>
    </w:p>
    <w:p>
      <w:r>
        <w:rPr>
          <w:b/>
        </w:rPr>
        <w:t>E. 4</w:t>
      </w:r>
    </w:p>
    <w:p>
      <w:r>
        <w:t>Wie die vorstehenden Erwägungen zeigen, konnte der Beschwerde von Anfang an kein Erfolg beschieden sein, weshalb es an den materiellen Voraussetzungen der unentgeltlichen Rechtspflege fehlt ( Art. 64 Abs. 1 BGG ) und das entsprechende Gesuch abzuweisen ist.</w:t>
      </w:r>
    </w:p>
    <w:p>
      <w:r>
        <w:rPr>
          <w:b/>
        </w:rPr>
        <w:t>E. 5</w:t>
      </w:r>
    </w:p>
    <w:p>
      <w:r>
        <w:t>Die Gerichtskosten sind dem Beschwerdeführer aufzuerlegen ( Art. 66 Abs. 1 BGG ).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