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5A_511/2024 vom 16. August 2024</w:t>
      </w:r>
    </w:p>
    <w:p>
      <w:r>
        <w:t>Bundesgericht, 2024-08-16, DE</w:t>
      </w:r>
    </w:p>
    <w:p>
      <w:r>
        <w:rPr>
          <w:b/>
        </w:rPr>
        <w:t xml:space="preserve">Quelle: </w:t>
      </w:r>
      <w:r>
        <w:t>https://mcp.opencaselaw.ch/entscheid/bger_5A_511_2024</w:t>
      </w:r>
    </w:p>
    <w:p>
      <w:r>
        <w:t>FR: TF 5A_511/2024 du 16 août 2024</w:t>
      </w:r>
    </w:p>
    <w:p>
      <w:r>
        <w:t>IT: TF 5A_511/2024 del 16 agosto 2024</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angefochtene Entscheid äussert sich namentlich zur - im Unterschied zur AHV-Rente - beschränkt pfändbaren BVG-Rente, zum Mietzins, zum Grundbetrag sowie zu den Punkten, in welchen nicht Beschwerde möglich, sondern beim Betreibungsamt eine Revision der Rentenpfändung zu verlangen ist.</w:t>
      </w:r>
    </w:p>
    <w:p>
      <w:r>
        <w:rPr>
          <w:b/>
        </w:rPr>
        <w:t>E. 3</w:t>
      </w:r>
    </w:p>
    <w:p>
      <w:r>
        <w:t>Der Beschwerdeführer setzt sich mit den Erwägungen des angefochtenen Entscheides nicht auseinander. Er beschränkt sich auf das Vorbringen, er habe sein ganzes Leben gearbeitet und in die 2. Säule eingezahlt, damit er es im Alter besser habe, und er müsse seine Schulden abzahlen. Damit ist nicht dargetan, inwiefern der angefochtene Entscheid gegen Recht verstossen soll.</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