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5A_510/2017 vom 14. Juli 2017</w:t>
      </w:r>
    </w:p>
    <w:p>
      <w:r>
        <w:t>Bundesgericht, 2017-07-14, DE</w:t>
      </w:r>
    </w:p>
    <w:p>
      <w:r>
        <w:rPr>
          <w:b/>
        </w:rPr>
        <w:t xml:space="preserve">Quelle: </w:t>
      </w:r>
      <w:r>
        <w:t>https://mcp.opencaselaw.ch/entscheid/bger_5A_510_2017</w:t>
      </w:r>
    </w:p>
    <w:p>
      <w:r>
        <w:t>FR: TF 5A_510/2017 du 14 juillet 2017</w:t>
      </w:r>
    </w:p>
    <w:p>
      <w:r>
        <w:t>IT: TF 5A_510/2017 del 14 luglio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ein kantonal letztinstanzlicher Entscheid betreffend Rechtsverzögerung in einem Scheidungsverfahren; die Beschwerde in Zivilsachen steht offen.</w:t>
      </w:r>
    </w:p>
    <w:p>
      <w:r>
        <w:rPr>
          <w:b/>
        </w:rPr>
        <w:t>E. 2</w:t>
      </w:r>
    </w:p>
    <w:p>
      <w:r>
        <w:t>Soweit mehr oder anderes verlangt wird, als Gegenstand des angefochtenen Entscheides war, ist auf die Beschwerde nicht einzutreten. Darauf wurde der Beschwerdeführer bereits im Urteil 5A_180/2017 hingewiesen. Zu prüfen ist demnach einzig die Frage der Rechtsverzögerung.</w:t>
      </w:r>
    </w:p>
    <w:p>
      <w:r>
        <w:rPr>
          <w:b/>
        </w:rPr>
        <w:t>E. 3</w:t>
      </w:r>
    </w:p>
    <w:p>
      <w:r>
        <w:t>Diesbezüglich hat das Obergericht die vom Regionalgericht vorgenommenen Handlungen (intensiver Austausch mit dem Amtsgericht U.________; Behandlung des mütterlichen Gesuches um superprovisorische Massnahmen; Kontakt mit der KESB betreffend Wiederaufnahme der begleiteten Besuche; Vorladung zur Hauptverhandlung) dargestellt und ist zum Schluss gekommen, dass dem Regionalgericht keine Rechtsverzögerung vorzuwerfen sei.</w:t>
      </w:r>
    </w:p>
    <w:p>
      <w:r>
        <w:t>Entgegen der aus Art. 42 Abs. 2 BGG fliessenden Begründungspflicht, welche erfordert, dass in der Beschwerde in gedrängter Form dargelegt wird, inwiefern der angefochtene Entscheid Recht verletzt, was eine Auseinandersetzung mit der Begründung des angefochtenen Entscheides erfordert ( BGE 140 III 115 E. 2 S. 116), beschränkt sich der Beschwerdeführer auf Beschimpfungen und allgemeine Vorwürfe.</w:t>
      </w:r>
    </w:p>
    <w:p>
      <w:r>
        <w:t>Dies genügt den Begründungsanforderungen in offensichtlicher Weise nicht und die Beschwerde ist im Übrigen auch querulatorisch, weshalb auf sie im Verfahren nach Art. 108 Abs. 1 lit. b und c BGG durch Präsidialentscheid nicht einzutreten ist.</w:t>
      </w:r>
    </w:p>
    <w:p>
      <w:r>
        <w:rPr>
          <w:b/>
        </w:rPr>
        <w:t>E. 4</w:t>
      </w:r>
    </w:p>
    <w:p>
      <w:r>
        <w:t>Weil der Beschwerde von Anfang an kein Erfolg beschieden sein konnte, fehlt es an den materiellen Voraussetzungen der unentgeltlichen Rechtspflege ( Art. 64 Abs. 1 BGG ) und folglich ist das betreffende Gesuch abzuweisen. Die Gerichtskosten sind dem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