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50/2024 vom 29. Januar 2024</w:t>
      </w:r>
    </w:p>
    <w:p>
      <w:r>
        <w:t>Bundesgericht, 2024-01-29, DE</w:t>
      </w:r>
    </w:p>
    <w:p>
      <w:r>
        <w:rPr>
          <w:b/>
        </w:rPr>
        <w:t xml:space="preserve">Quelle: </w:t>
      </w:r>
      <w:r>
        <w:t>https://mcp.opencaselaw.ch/entscheid/bger_5A_50_2024</w:t>
      </w:r>
    </w:p>
    <w:p>
      <w:r>
        <w:t>FR: TF 5A 50/2024 du 29 janvier 2024</w:t>
      </w:r>
    </w:p>
    <w:p>
      <w:r>
        <w:t>IT: TF 5A 50/2024 del 29 gennaio 2024</w:t>
      </w:r>
    </w:p>
    <w:p>
      <w:pPr>
        <w:pStyle w:val="Heading2"/>
      </w:pPr>
      <w:r>
        <w:t>Regeste</w:t>
      </w:r>
    </w:p>
    <w:p>
      <w:r>
        <w:t>Abweisung einer Grundbuchanmeldung | Sachenrecht</w:t>
      </w:r>
    </w:p>
    <w:p>
      <w:pPr>
        <w:pStyle w:val="Heading2"/>
      </w:pPr>
      <w:r>
        <w:t>Erwägungen</w:t>
      </w:r>
    </w:p>
    <w:p>
      <w:r>
        <w:rPr>
          <w:b/>
        </w:rPr>
        <w:t>E. 1</w:t>
      </w:r>
    </w:p>
    <w:p>
      <w:r>
        <w:t>Am 7. Juli 2020 schlossen die B.________ AG (Verkäuferin) und der Beschwerdeführer (Käufer) einen Kaufvertrag über das Grundstück GB U.________ Nr. xxx ab. Als Kaufpreis vereinbarten sie Fr. 457'000.--. Mit Verfügung vom 7. November 2023 wies die Amtschreiberei Thierstein die Grundbuchanmeldung des Beschwerdeführers vom 15. August 2022 ab. Gegen diese Abweisungsverfügung erhob der Beschwerdeführer am 15. November 2023 Beschwerde. Mit Urteil vom 20. Dezember 2023 wies das Obergericht des Kantons Solothurn die Beschwerde und das Gesuch des Beschwerdeführers um unentgeltliche Rechtspflege ab. Dagegen hat der Beschwerdeführer am 24. Januar 2024 (Datum der Abgabe an die elektronische Plattform)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Der Beschwerdeführer macht geltend, das Obergericht hätte auf seine Beschwerde nicht eintreten sollen, statt sie abzuweisen, da er den verlangten Kostenvorschuss nicht bezahlt habe. Der Beschwerdeführer legt nicht dar und es ist auch nicht ersichtlich, inwiefern er an einer entsprechenden Änderung des obergerichtlichen Urteils ein schutzwürdiges Interesse haben könnte ( Art. 76 Abs. 1 lit. b BGG ). Im Übrigen hat das Obergericht erwogen, dass er am 15. Dezember 2023 implizit um unentgeltliche Rechtspflege ersucht habe. Der Beschwerdeführer legt nicht dar, inwiefern das Obergericht bei dieser Ausgangslage einen Nichteintretensentscheid wegen Nichtbezahlung des Kostenvorschusses hätte fällen dürfen und müssen.</w:t>
      </w:r>
    </w:p>
    <w:p>
      <w:r>
        <w:rPr>
          <w:b/>
        </w:rPr>
        <w:t>E. 3.2</w:t>
      </w:r>
    </w:p>
    <w:p>
      <w:r>
        <w:t>Das Obergericht hat die Beschwerde abgewiesen, da als Vorbehalt zur Einschreibung im Tagebuch das Vorliegen einer Eintragungsermächtigung vereinbart worden sei. Die Verkäuferin habe jedoch unbestrittenermassen keine Eintragungsermächtigung eingereicht. Auf diese Erwägung geht der Beschwerdeführer nicht ein. Stattdessen macht er geltend, die Amtschreiberei habe 418 Tage gebraucht, um sein Schreiben vom 15. August 2022 zu beantworten. Darüber hätte er sich beim Obergericht beschweren müssen. Dem Obergericht wirft er vor, auf seine Beschwerde nicht wirklich eingegangen zu sein. Er legt jedoch nicht dar, auf welche Punkte das Obergericht nicht eingegangen sein soll.</w:t>
      </w:r>
    </w:p>
    <w:p>
      <w:r>
        <w:rPr>
          <w:b/>
        </w:rPr>
        <w:t>E. 3.3</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 Vor Bundesgericht stellt er kein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