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5A_509/2020 vom 3. Februar 2021</w:t>
      </w:r>
    </w:p>
    <w:p>
      <w:r>
        <w:t>Bundesgericht, 2021-02-03, DE</w:t>
      </w:r>
    </w:p>
    <w:p>
      <w:r>
        <w:rPr>
          <w:b/>
        </w:rPr>
        <w:t xml:space="preserve">Quelle: </w:t>
      </w:r>
      <w:r>
        <w:t>https://mcp.opencaselaw.ch/entscheid/bger_5A_509_2020</w:t>
      </w:r>
    </w:p>
    <w:p>
      <w:r>
        <w:t>FR: TF 5A_509/2020 du 3 février 2021</w:t>
      </w:r>
    </w:p>
    <w:p>
      <w:r>
        <w:t>IT: TF 5A_509/2020 del 3 febbraio 2021</w:t>
      </w:r>
    </w:p>
    <w:p>
      <w:pPr>
        <w:pStyle w:val="Heading2"/>
      </w:pPr>
      <w:r>
        <w:t>Erwägungen</w:t>
      </w:r>
    </w:p>
    <w:p>
      <w:r>
        <w:rPr>
          <w:b/>
        </w:rPr>
        <w:t>E. 1.1</w:t>
      </w:r>
    </w:p>
    <w:p>
      <w:r>
        <w:t>Angefochten ist der Endentscheid ( Art. 90 BGG ) eines oberen kantonalen Gerichts, das als Rechtsmittelinstanz ( Art. 75 BGG ) über die vermögensrechtlichen Nebenfolgen einer Ehescheidung (Kindesunterhalt, nachehelicher Unterhalt, Güterrecht) sowie die Kosten des entsprechenden Verfahrens und damit eine vermögensrechtliche Zivilsache nach Art. 72 Abs. 1 BGG entschieden hat. Der erforderliche Streitwert von Fr. 30'000.-- (Art. 74 Abs. 1 Bst. b i.V.m. Art. 51 Abs. 1 Bst. a und Abs. 4 BGG) ist nach den unbestritten gebliebenen Feststellungen der Vorinstanz erreicht. Die Beschwerde in Zivilsachen ist das zutreffende Rechtsmittel. Der Beschwerdeführer ist nach Art. 76 Abs. 1 BGG grundsätzlich zur Beschwerde berechtigt, die er auch fristgerecht eingereicht hat ( Art. 100 Abs. 1 BGG ).</w:t>
      </w:r>
    </w:p>
    <w:p>
      <w:r>
        <w:rPr>
          <w:b/>
        </w:rPr>
        <w:t>E. 1.2</w:t>
      </w:r>
    </w:p>
    <w:p>
      <w:r>
        <w:t>Nicht einzutreten ist auf die Beschwerde insoweit, als der Beschwerdeführer einzig beantragt, was die Vorinstanz ihm bereits zugesprochen hat. Insoweit fehlt es ihm an einem rechtlich geschützten Interesse an der Beschwerdeführung ( Art. 76 Abs. 1 BGG ; Urteile 5A_467/2020 vom 7. September 2020 E. 1.2; 5A_749/2009 vom 15. Januar 2010 E. 3). Dies betrifft den zum nachehelichen Unterhalt gestellten Eventualantrag auf Festlegung eines Beitrags von monatlich Fr. 1'411.10 bis zum 31. Dezember 2020 (vgl. Bst. B und C).</w:t>
      </w:r>
    </w:p>
    <w:p>
      <w:r>
        <w:rPr>
          <w:b/>
        </w:rPr>
        <w:t>E. 1.3</w:t>
      </w:r>
    </w:p>
    <w:p>
      <w:r>
        <w:t>Im Zusammenhang mit der güterrechtlichen Auseinandersetzung trägt der Beschwerdeführer vor, er habe " weitere schwerwiegende Män gel" im Urteil des Kantonsgerichts vor Obergericht nicht beanstandet, da die Belege für seine entsprechenden Behauptungen nicht innert der Rechtsmittelfrist vorgelegen hätten. Die fraglichen Dokumente habe er nun aber erhältlich machen können.</w:t>
      </w:r>
    </w:p>
    <w:p>
      <w:r>
        <w:t>Auf die Beschwerde ist in diesem Umfang nicht einzutreten: Vorab missachtet der Beschwerdeführer, dass die Beschwerde in Zivilsachen nur gegenüber Entscheiden letzter kantonaler Instanzen zulässig ist ( Art. 75 Abs. 1 BGG ; BGE 141 III 188 E. 4.1) und dass der Instanzenzug auch materiell durchlaufen werden muss, d.h. dass Rügen, welche dem Bundesgericht unterbreitet werden, bereits vor der Vorinstanz zu erheben sind ( BGE 143 III 290 E. 1.1; 134 III 524 E. 1.3). Im Verfahren vor Bundesgericht dürfen sodann grundsätzlich keine Tatsachen vorgebracht werden, die erst entstanden sind, nachdem vor der Vorinstanz keine neuen Tatsachen und Beweismittel mehr vorgetragen werden konnten (echte Noven; BGE 143 V 19 E. 1.2). Unechte Noven, d.h. Tatsachen, die im bisherigen Verfahren bereits hätten vorgebracht werden können, aber nicht vorgebracht worden sind, dürfen zwar insoweit dem Bundesgericht unterbreitet werden, als erst der Entscheid der Vorinstanz dazu Anlass gibt ( Art. 99 Abs. 1 BGG ). Inwiefern dies der Fall ist, ist indes in der Beschwerde darzulegen ( Art. 42 Abs. 2 BGG ; BGE 139 III 120 E. 3.1.2), was der Beschwerdeführer mit Ausnahme des unzulänglichen und nicht weiter belegten Hinweises, er habe die fraglichen Unterlagen nicht rechtzeitig erhältlich machen können, unterlässt.</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ausser in offensichtlichen Fällen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115 E. 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und dazu BGE 142 II 433 E. 4.4),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Wird eine Verletzung des Willkürverbots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t>Dieselben Begründungsvoraussetzungen gelten für die Rüge der Verletzung verfassungsmässiger Rechte ( BGE 144 II 313 E. 5.1; 143 II 283 E. 1.2.2).</w:t>
      </w:r>
    </w:p>
    <w:p>
      <w:r>
        <w:rPr>
          <w:b/>
        </w:rPr>
        <w:t>E. 2.2</w:t>
      </w:r>
    </w:p>
    <w:p>
      <w:r>
        <w:t>Diesen Anforderungen genügt die Beschwerde nicht:</w:t>
      </w:r>
    </w:p>
    <w:p>
      <w:r>
        <w:rPr>
          <w:b/>
        </w:rPr>
        <w:t>E. 2.2.1</w:t>
      </w:r>
    </w:p>
    <w:p>
      <w:r>
        <w:t>In weiten Teilen seiner Ausführungen geht der Beschwerdeführer von tatsächlichen Grundlagen aus, welche von den durch das Obergericht festgestellten abweichen. Dies betrifft nicht nur Feststellungen über den Lebenssachverhalt, die dem Streitgegenstand zugrunde liegen, sondern auch solche über den Ablauf des vor- und erstinstanzlichen Verfahrens, mithin den Prozesssachverhalt (vgl. BGE 140 III 16 E. 1.3.1). Angesprochen sind hier beispielhaft seine Ausführungen zu seiner Aufenthalts- und Wohnsituation, zur "Mitwirkung an der Beweiserhebung", zur Situation seiner derzeitigen Lebenspartnerin (Aufenthalt in der Schweiz, Betreuung derer Kinder) und zu den Vorgängen um den Verkauf seiner verschiedenen Fahrzeuge. Dabei wirft der Beschwerdeführer dem Obergericht nur teilweise vor, die Sachverhaltsfeststellung offensichtlich unrichtig oder in Verletzung von Bundesrecht vorgenommen zu haben. Soweit er verschiedentlich die Verletzung des Willkürverbots ( Art. 9 BV ) oder seines Anspruchs auf rechtliches Gehör ( Art. 29 Abs. 2 BV ) geltend macht, legt er nicht mit der notwendigen Genauigkeit dar, inwieweit die Vorinstanz die entsprechenden verfassungsmässigen Rechte verletzt haben sollte. Vielmehr belässt er es in appellatorischer Art und Weise beim Vorwurf, die von seiner eigenen Darstellungen abweichenden Feststellungen der Vorinstanz begründeten die genannten Verfassungsverletzungen. Dies genügt den für die Beschwerde in Zivilsachen in diesem Bereich geltenden Begründungsanforderungen nicht.</w:t>
      </w:r>
    </w:p>
    <w:p>
      <w:r>
        <w:rPr>
          <w:b/>
        </w:rPr>
        <w:t>E. 2.2.2</w:t>
      </w:r>
    </w:p>
    <w:p>
      <w:r>
        <w:t>Mit Blick auf den Kindes- und den nachehelichen Unterhalt sowie die güterrechtliche Auseinandersetzung wirft der Beschwerdeführer der Vorinstanz zahlreiche Verfassungs- und Gesetzesverletzungen vor. Indes beschränkt er sich auch insoweit und in teilweise offenkundiger Wiederholung seiner Ausführungen des Berufungsverfahrens darauf, seine Sicht der Dinge wiederzugeben. Auf die Argumentation des Obergerichts geht er kaum ein und mit dem angefochtenen Entscheid setzt er sich nicht hinreichend auseinander. Soweit er dennoch auf das vorinstanzliche Verfahren eingeht, belässt er es bei äusserst pauschalen Aussagen, ohne sich näher mit den einschlägigen Rechtsgrundlagen zu befassen. Zwar lässt sich der Beschwerdeschrift insgesamt entnehmen, dass der Beschwerdeführer sich ungerecht behandelt und benachteiligt fühlt. So führt er beispielsweise auf S. 51 der Beschwerde aus:</w:t>
      </w:r>
    </w:p>
    <w:p>
      <w:r>
        <w:t>"Unabhängig vom Sachverhalt wurden die klägerischen Aussagen gefliessentlich ignoriert, als unwahr abgestempelt oder der Sachverhalt verdreht, bei der Beschwerdegegnerin hingegen wird den Lippenbekenntnissen gefolgt, Beweise sind nicht nötig. Kurzum, was kann man an Gerechtigkeit erwarten, wenn das Zugerische Gericht sich offensichtlich parteiisch und sympathisierend verhält und diese Haltung noch von der zweiten Instanz gestützt wird? Somit werden sämtliche vom Beschwerdeführer eingebrachten Argumentationen, Hinweise oder Beweise in diesem Verfahren obsolet. Es ist nicht nötig, Einsprache einzureichen. Bei solcher Einseitigkeit spielt es dann auch keine Rolle, von welchem Bereich wir sprechen, Kindsbelange, Unterhalt oder Güterrecht, der nicht Favorisierte wird nirgendwo im Recht sein."</w:t>
      </w:r>
    </w:p>
    <w:p>
      <w:r>
        <w:t>Die offenbar vorhandene Frustration entbindet den Beschwerdeführer jedoch nicht davon, entsprechend der dargelegten Begründungspflicht vor Bundesgericht genau anzugeben, welche Rechtsregeln von der oberen kantonalen Instanz inwiefern falsch angewandt worden sein sollen (vgl. etwa Urteil 4A_370/2016 vom 13. Dezember 2016 E. 2.3), was er indes unterlässt. Dem Beschwerdeführer hilft auch nicht weiter, dass er sich nicht anwaltlich vertreten liess (Urteil 5A_726/2015 vom 19. November 2015 E. 4.3), zumal er auch vor dem Hintergrund der geltend gemachten Schuldensituation nur eine Befreiung von der Pflicht zur Leistung eines Kostenvorschusses, nicht aber um Beiordnung einer unentgeltlichen Rechtsvertretung beantragt (vgl. vorne Bst. C; Art. 64 BGG ). Da die Begründung in der Beschwerde enthalten sein muss ( BGE 143 II 283 E. 1.2.3) und blosse Verweise auf die Ausführungen in anderen Rechtsschriften oder in den Akten den Begründungsanforderungen nicht genügen ( BGE 140 III 115 E. 2), bleibt es auch unbeachtlich, dass der Beschwerdeführer die Berufung an die Vorinstanz zum integralen Bestandteil der Beschwerde in Zivilsachen erklärt.</w:t>
      </w:r>
    </w:p>
    <w:p>
      <w:r>
        <w:t>Von vornherein unbeheflich bleibt im Übrigen der Vorwurf der Verletzung verschiedener Grundrechte, namentlich der persönlichen Freiheit ( Art. 10 Abs. 2 BV ) oder des Schutzes der Privatsphäre ( Art. 13 BV ) : Gegenstand des vorliegenden Verfahrens ist die Regelung der vermögensrechtlichen Folgen der Scheidung der Ehe der Parteien (vgl. vorne E. 1.1). Grundrechte entfalten ihre Schutzwirkung grundsätzlich aber nur im Verhältnis zwischen Bürger und Staat und haben keine unmittelbare Drittwirkung in der Beziehung zwischen Privatpersonen ( BGE 143 I 217 E. 5.2; 137 III 59 E. 4.1).</w:t>
      </w:r>
    </w:p>
    <w:p>
      <w:r>
        <w:rPr>
          <w:b/>
        </w:rPr>
        <w:t>E. 2.2.3</w:t>
      </w:r>
    </w:p>
    <w:p>
      <w:r>
        <w:t>Nichts anderes ergibt sich zuletzt, soweit sich der Beschwerdeführer gegen die Kostenverlegung in den vorinstanzlichen Verfahren wendet: Auch in diesem Zusammenhang weicht er in seiner Beschreibung des prozessualen Verhaltens der Beschwerdegegnerin vom vorinstanzlich festgestellten Sachverhalt ab, ohne die notwendigen Rügen zu erheben. Sodann legt er seine eigenen Überlegungen zur Verlegung der Prozesskosten nach Massgabe des Obsiegens bzw. Unterliegens der Parteien dar, ohne auf die entsprechenden Ausführungen der Vorinstanz einzugehen.</w:t>
      </w:r>
    </w:p>
    <w:p>
      <w:r>
        <w:rPr>
          <w:b/>
        </w:rPr>
        <w:t>E. 3</w:t>
      </w:r>
    </w:p>
    <w:p>
      <w:r>
        <w:t>Nach dem Ausgeführten ist auf die Beschwerde nicht einzutreten.</w:t>
      </w:r>
    </w:p>
    <w:p>
      <w:r>
        <w:t>Bei diesem Ausgang des Verfahrens sind die Gerichtskosten dem Beschwerdeführer aufzuerlegen ( Art. 66 Abs. 1 BGG ). Parteientschädigung ist keine zu sprechen, da der obsiegenden Beschwerdegegnerin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