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5A_508/2018 vom 19. Juni 2018</w:t>
      </w:r>
    </w:p>
    <w:p>
      <w:r>
        <w:t>Bundesgericht, 2018-06-19, DE</w:t>
      </w:r>
    </w:p>
    <w:p>
      <w:r>
        <w:rPr>
          <w:b/>
        </w:rPr>
        <w:t xml:space="preserve">Quelle: </w:t>
      </w:r>
      <w:r>
        <w:t>https://mcp.opencaselaw.ch/entscheid/bger_5A_508_2018</w:t>
      </w:r>
    </w:p>
    <w:p>
      <w:r>
        <w:t>FR: TF 5A_508/2018 du 19 juin 2018</w:t>
      </w:r>
    </w:p>
    <w:p>
      <w:r>
        <w:t>IT: TF 5A_508/2018 del 19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Beschwerde hat ein Rechtsbegehren und eine Begründung zu enthalten ( Art. 42 Abs. 1 BGG ), in welcher in gedrängter Form dargelegt wird, inwiefern der angefochtene Entscheid Recht verletzt ( Art. 42 Abs. 2 BGG ), was eine Auseinandersetzung mit der Begründung des angefochtenen Entscheides erfordert ( BGE 140 III 115 E. 2 S. 116).</w:t>
      </w:r>
    </w:p>
    <w:p>
      <w:r>
        <w:rPr>
          <w:b/>
        </w:rPr>
        <w:t>E. 2</w:t>
      </w:r>
    </w:p>
    <w:p>
      <w:r>
        <w:t>Die Beschwerde enthält ausser einem Antrag auf Gewährung der unentgeltlichen Rechtspflege kein inhaltlich nachvollziehbares und in erkennbarem Zusammenhang mit dem angefochtenen Entscheid stehendes Rechtsbegehren.</w:t>
      </w:r>
    </w:p>
    <w:p>
      <w:r>
        <w:t>Sodann mangelt es der Beschwerde auch an einer sachgerichteten, auf die Erwägungen des angefochtenen Entscheides bezugnehmenden Begründung; vielmehr besteht diese aus einem Rundumschlag gegen Richter, Behörden und weitere Beteiligte in Sachen Scheidung, Konkurs und Erbteilung.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 Damit wird das Gesuch um unentgeltliche Rechtspflege gegenstandslos.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