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5A_507/2023 vom 13. Juli 2023</w:t>
      </w:r>
    </w:p>
    <w:p>
      <w:r>
        <w:t>Bundesgericht, 2023-07-13, DE</w:t>
      </w:r>
    </w:p>
    <w:p>
      <w:r>
        <w:rPr>
          <w:b/>
        </w:rPr>
        <w:t xml:space="preserve">Quelle: </w:t>
      </w:r>
      <w:r>
        <w:t>https://mcp.opencaselaw.ch/entscheid/bger_5A_507_2023</w:t>
      </w:r>
    </w:p>
    <w:p>
      <w:r>
        <w:t>FR: TF 5A_507/2023 du 13 juillet 2023</w:t>
      </w:r>
    </w:p>
    <w:p>
      <w:r>
        <w:t>IT: TF 5A_507/2023 del 13 luglio 2023</w:t>
      </w:r>
    </w:p>
    <w:p>
      <w:pPr>
        <w:pStyle w:val="Heading2"/>
      </w:pPr>
      <w:r>
        <w:t>Erwägungen</w:t>
      </w:r>
    </w:p>
    <w:p>
      <w:r>
        <w:rPr>
          <w:b/>
        </w:rPr>
        <w:t>E. 1</w:t>
      </w:r>
    </w:p>
    <w:p>
      <w:r>
        <w:t>Mit dem Vorbringen, "schon zu Genüge über den Tisch gezogen" worden zu sein "in der subsidiären Bundesverfassung, aber auch ZGB, StGB &amp; erneutem Unrecht", weshalb vorbeugend die "KollegInnen Escher-Denys-Herrmann nicht mit diesem Fall beschäftig[t]" sein sollten, scheint sinngemäss (auch) gegen den vorliegend urteilenden Abteilungspräsidenten ein Ausstandsbegehren gestellt zu sein. Indes bleibt dieses unbegründet, weshalb darauf von vornherein nicht eingetreten werden kann (5A_144/2021 vom 28. Mai 2021 E. 1.3). Es sind denn auch nicht ansatzweise Ausstandsgründe ersichtlich.</w:t>
      </w:r>
    </w:p>
    <w:p>
      <w:r>
        <w:rPr>
          <w:b/>
        </w:rPr>
        <w:t>E. 2</w:t>
      </w:r>
    </w:p>
    <w:p>
      <w:r>
        <w:t>Die Vorinstanz ist auf das Rechtsmittel des Beschwerdeführers mangels hinreichender Begründung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Eine solche Darlegung lässt sich der Beschwerde nicht entnehmen. Der Beschwerdeführer beschränkt sich auf allgemeine Polemik gegen den erstinstanzlichen Richter und die kantonalen Rechtsmittelbehörden, wie sie auch aus anderen Beschwerden bekannt ist. Inwiefern er seine Beschwerde an die Rekurskommission sachgerichtet begründet hätte und diese deshalb darauf hätte eintreten müssen bzw. sie mit ihren Nichteintretenserwägungen sowie mit der Kostenauferlegung Recht verletzt haben soll, tut der Beschwerdeführer in seinen weitschweifigen Ausführungen nicht dar.</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