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507/2021 vom 24. Juni 2021</w:t>
      </w:r>
    </w:p>
    <w:p>
      <w:r>
        <w:t>Bundesgericht, 2021-06-24, DE</w:t>
      </w:r>
    </w:p>
    <w:p>
      <w:r>
        <w:rPr>
          <w:b/>
        </w:rPr>
        <w:t xml:space="preserve">Quelle: </w:t>
      </w:r>
      <w:r>
        <w:t>https://mcp.opencaselaw.ch/entscheid/bger_5A_507_2021</w:t>
      </w:r>
    </w:p>
    <w:p>
      <w:r>
        <w:t>FR: TF 5A 507/2021 du 24 juin 2021</w:t>
      </w:r>
    </w:p>
    <w:p>
      <w:r>
        <w:t>IT: TF 5A 507/2021 del 24 giugno 2021</w:t>
      </w:r>
    </w:p>
    <w:p>
      <w:pPr>
        <w:pStyle w:val="Heading2"/>
      </w:pPr>
      <w:r>
        <w:t>Regeste</w:t>
      </w:r>
    </w:p>
    <w:p>
      <w:r>
        <w:t>aufschiebende Wirkung (Beistandschaft) | Familienrecht</w:t>
      </w:r>
    </w:p>
    <w:p>
      <w:pPr>
        <w:pStyle w:val="Heading2"/>
      </w:pPr>
      <w:r>
        <w:t>Erwägungen</w:t>
      </w:r>
    </w:p>
    <w:p>
      <w:r>
        <w:rPr>
          <w:b/>
        </w:rPr>
        <w:t>E. 1</w:t>
      </w:r>
    </w:p>
    <w:p>
      <w:r>
        <w:t>Beschwerdegegenstand bildet ein kantonal letztinstanzlicher Entscheid über die aufschiebende Wirkung ( Art. 72 Abs. 1 und Art. 75 Abs. 1 BGG ). Er ist, da nicht verfahrensabschliessend, ein Zwischenentscheid (vgl. BGE 134 II 192 E. 1.5 S. 197; aus den unpublizierten Entscheiden statt vieler: Urteil 5A_56/2019 vom 9. Mai 2019 E. 1.1), der nur unter den besonderen Voraussetzungen von Art. 93 Abs. 1 BGG mit Beschwerde beim Bundesgericht angefochten werden kann, wobei diese in der Beschwerde darzutun sind ( BGE 137 III 324 E. 1.1 S. 329; 141 IV 289 E. 1.3 S. 292). Sodann ist der Entscheid über die aufschiebende Wirkung eine vorsorgliche Massnahme im Sinn von Art. 98 BGG ( BGE 134 II 192 E. 1.5 S. 197; 137 III 475 E. 2 S. 477; aus den unpublizierten Entscheiden statt vieler: Urteil 5A_815/2019 vom 6. März 2020 E. 2.1), weshalb nur verfassungsmässige Rechte als verletzt gerügt werden können, wofür das strikte Rügeprinzip gemäss Art. 106 Abs. 2 BGG gilt und bloss appellatorische Ausführungen ungenügend sind (zu den diesbezüglichen Begründungsvoraussetzungen namentlich BGE 134 II 244 E. 2.2 S. 246; 142 II 369 E. 2.1 S. 372; 142 III 364 E. 2.4 S. 368).</w:t>
      </w:r>
    </w:p>
    <w:p>
      <w:r>
        <w:rPr>
          <w:b/>
        </w:rPr>
        <w:t>E. 2</w:t>
      </w:r>
    </w:p>
    <w:p>
      <w:r>
        <w:t>Die Beschwerde enthält keine Darlegung zu den Beschwerdevoraussetzungen gemäss Art. 93 Abs. 1 BGG und es werden auch keine konkreten Verfassungsverletzungen dargetan. Vielmehr erfolgen weitschweifige appellatorische Ausführungen zur Tätigkeit seines Vertreters und zur Korrespondenz mit dem Familiengericht Muri sowie zum angeblichen Amtsmissbrauch durch dieses bzw. durch die am Entscheid mitwirkenden Personen, von denen auch Fotos und Beschreibungen eingereicht werden. All dies steht ausserhalb des Anfechtungsgegenstandes; das Bundesgericht ist weder eine Aufsichtsbehörde betreffend kantonale Instanzen noch eine Strafverfolgungsbehörde.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