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5A_507/2013 vom 29. Oktober 2013</w:t>
      </w:r>
    </w:p>
    <w:p>
      <w:r>
        <w:t>Bundesgericht, 2013-10-29, FR</w:t>
      </w:r>
    </w:p>
    <w:p>
      <w:r>
        <w:rPr>
          <w:b/>
        </w:rPr>
        <w:t xml:space="preserve">Quelle: </w:t>
      </w:r>
      <w:r>
        <w:t>https://mcp.opencaselaw.ch/entscheid/bger_5A_507_2013</w:t>
      </w:r>
    </w:p>
    <w:p>
      <w:r>
        <w:t>FR: TF 5A_507/2013 du 29 octobre 2013</w:t>
      </w:r>
    </w:p>
    <w:p>
      <w:r>
        <w:t>IT: TF 5A_507/2013 del 29 ottobre 2013</w:t>
      </w:r>
    </w:p>
    <w:p>
      <w:pPr>
        <w:pStyle w:val="Heading2"/>
      </w:pPr>
      <w:r>
        <w:t>Erwägungen</w:t>
      </w:r>
    </w:p>
    <w:p>
      <w:r>
        <w:rPr>
          <w:b/>
        </w:rPr>
        <w:t>E. 1</w:t>
      </w:r>
    </w:p>
    <w:p>
      <w:r>
        <w:t>Le recours est dirigé contre une décision prise en application de normes de droit public dans une matière connexe au droit civil, à savoir en matière de protection de l'enfant (art. 72 al. 2 let. b ch. 6 LTF). Comme la question soumise au Tribunal fédéral est de nature non pécuniaire, le recours est ouvert indépendamment de la valeur litigieuse (arrêt 5A_763/2011 du 7 mars 2012 consid. 1). Il a par ailleurs été interjeté en temps utile ( art. 100 al. 1 LTF ) par des parties ayant qualité pour recourir ( art. 76 al. 1 LTF ), contre une décision finale ( art. 90 LTF ) prise par un tribunal supérieur statuant en dernière instance cantonale ( art. 75 LTF ). Le recours en matière civile est donc en principe recevable.</w:t>
      </w:r>
    </w:p>
    <w:p>
      <w:r>
        <w:rPr>
          <w:b/>
        </w:rPr>
        <w:t>E. 1.1</w:t>
      </w:r>
    </w:p>
    <w:p>
      <w:r>
        <w:t>Le Tribunal fédéral n'examine, en général, que les questions juridiques que la partie recourante soulève conformément aux exigences légales relatives à la motivation du recours ( art. 42 al. 2 LTF ; ATF 135 I 91 consid. 2.1). Afin de satisfaire à cette obligation, celle-ci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(cf. ATF 134 II 244 consid. 2.1; 134 V 53 consid. 3.3). De plus, le Tribunal fédéral n'entre en matière sur les moyens fondés sur la violation de droits fondamentaux ou de dispositions de droit cantonal que s'ils ont été invoqués et motivés de manière précise ( art. 106 al. 2 LTF ). L'acte de recours doit, à peine d'irrecevabilité, contenir un exposé succinct des droits qui auraient été violés et préciser en quoi consiste la violation ( ATF 136 I 65 consid. 1.3.1 et les arrêts cités).</w:t>
      </w:r>
    </w:p>
    <w:p>
      <w:r>
        <w:rPr>
          <w:b/>
        </w:rPr>
        <w:t>E. 1.2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 Les faits et moyens de preuve nouveaux sont prohibés, à moins de résulter de la décision de l'autorité précédente ( art. 99 al. 1 LTF ; ATF 135 I 221 consid. 5.2.4; 133 IV 342 consid. 2.1).</w:t>
      </w:r>
    </w:p>
    <w:p>
      <w:r>
        <w:t>Dans la mesure où les recourants s'écartent des faits contenus dans l'arrêt attaqué, les complètent ou les modifient, sans démontrer en quoi l'une des exceptions précitées serait réalisée, leur recours est irrecevable. Il ne sera pas non plus tenu compte de la décision de la Chambre de surveillance de la Cour de justice du 15 octobre 2013 confirmant notamment, à titre provisionnel, le retrait du droit de garde des parents sur leurs trois aînés et le placement de ceux-ci dans un foyer, cette décision étant postérieure à l'arrêt entrepris ( ATF 133 IV 342 consid. 2.2).</w:t>
      </w:r>
    </w:p>
    <w:p>
      <w:r>
        <w:rPr>
          <w:b/>
        </w:rPr>
        <w:t>E. 2</w:t>
      </w:r>
    </w:p>
    <w:p>
      <w:r>
        <w:t>Se plaignant de la violation des art. 9 Cst. , 6 § 1 CEDH et 2 § 3 ch. 2 [recte: let. b] du Pacte international relatif aux droits civils et politiques du 16 décembre 1966 (Pacte ONU II; RS 0.103.2), les recourants reprochent à l'autorité cantonale d'avoir arbitrairement constaté certains faits. Il soutiennent d'abord que le diagnostic d'autisme de F.________, posé par la Dresse J.________, a été écarté de manière insoutenable. De plus, la Maison N.________ serait le seul établissement spécialisé apte à prendre en charge celui-ci, eux-mêmes souhaitant s'occuper de leur enfant durant la nuit.</w:t>
      </w:r>
    </w:p>
    <w:p>
      <w:r>
        <w:rPr>
          <w:b/>
        </w:rPr>
        <w:t>E. 2.1</w:t>
      </w:r>
    </w:p>
    <w:p>
      <w:r>
        <w:t>En ce qui concerne l'appréciation des preuves et la constatation des faits, le Tribunal fédéral se montre réservé, vu le large pouvoir qu'il reconnaît en la matière au juge du fait ( ATF 120 Ia 31 consid. 4b; 118 Ia 28 consid. 1b).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136 III 552 consid. 4.2). 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w:t>
      </w:r>
    </w:p>
    <w:p>
      <w:r>
        <w:rPr>
          <w:b/>
        </w:rPr>
        <w:t>E. 2.2</w:t>
      </w:r>
    </w:p>
    <w:p>
      <w:r>
        <w:t>L'autorité cantonale a retenu que, la Maison N.________ étant un centre de jour, F.________ ne pouvait être placé en internat dans cet établissement. Or, l'experte psychiatre commise par le Tribunal avait indiqué, dans son rapport du 19 décembre 2012, qu'il était impératif, pour le bien de cet enfant, de le placer hors de sa famille, car son développement serait compromis s'il restait vivre chez ses parents. Elle préconisait ainsi un placement dans un foyer ouvert la semaine et la fréquentation d'un centre de jour, où la famille pourrait obtenir un soutien éducatif. S'agissant de la prise en charge de jour, la Chambre de surveillance a retenu que rien ne permettait d'écarter le diagnostic de l'experte psychiatre commise par le Tribunal et de nier les progrès de l'enfant depuis qu'il était suivi au Centre de jour de P.________. Ainsi, que F.________ souffre d'autisme ou du trouble envahissant du développement diagnostiqué par l'experte psychiatre, son placement était nécessaire, de même qu'un suivi en centre de jour. Concernant la prise en charge médicale dans un tel centre, les juges précédents ont en outre constaté que depuis que F.________ était suivi par celui de P.________, il avait fait des progrès. Il apparaissait également contraire à son intérêt de le placer dans un autre centre, dès lors qu'il était bien intégré dans celui-là. Quant aux recourants, ils se fondaient sur le bilan de la psychologue J.________, qui avait pourtant rappelé qu'en matière d'autisme, aucun test n'était absolument fiable et que le résultat dépendait de la motivation de l'enfant, de son degré d'attention, de ses intérêts et de ses possibilités d'apprentissage.</w:t>
      </w:r>
    </w:p>
    <w:p>
      <w:r>
        <w:t>Les recourants ne démontrent pas que cette appréciation serait insoutenable. Dans la mesure où ils prétendent que l'autorité cantonale ne pouvait s'écarter du diagnostic d'autisme posé par la Dresse J.________, qu'aucun élément probant ne viendrait contredire, leur grief est purement appellatoire et, partant, irrecevable. Il en va de même en tant qu'ils soutiennent que F.________ doit être placé dans un établissement adapté à son trouble autistique, à savoir la Maison N.________. L'autorité cantonale - qui, contrairement à l'affirmation des recourants, ne s'est pas appuyée exclusivement sur l'avis du SPMi - pouvait en effet, sans commettre l'arbitraire, estimer que l'avis de la psychologue mandatée par les recourants ne permettait pas de s'écarter du diagnostic de l'experte psychiatre commise par le Tribunal, ni de nier les progrès de F.________ depuis qu'il était suivi au Centre de jour de P.________. Il n'était pas non plus insoutenable de retenir que le placement de l'enfant à la Maison M.________, complété par une thérapie et des soins spécialisé dans ledit centre de jour, constituait une mesure appropriée, la Maison N.________, préconisée par les parents, n'offrant pas une prise en charge durant la nuit et F.________ étant bien intégré dans le centre qu'il fréquente. Autant qu'ils soient pertinents ici, on ne voit pas non plus en quoi les art. 6 § 1 CEDH et 2 § 3 let. b Pacte ONU II , également invoqués par les recourants, auraient été enfreints.</w:t>
      </w:r>
    </w:p>
    <w:p>
      <w:r>
        <w:rPr>
          <w:b/>
        </w:rPr>
        <w:t>E. 3</w:t>
      </w:r>
    </w:p>
    <w:p>
      <w:r>
        <w:t>Les recourants reprochent aussi à l'autorité cantonale d'avoir violé l' art. 310 CC en choisissant de placer F.________ dans un établissement inapproprié, restreignant de surcroît inutilement le droit aux contacts personnels de l'enfant avec ses parents et ses frères. Ils exposent que la Maison N.________, en plus d'être le seul établissement susceptible d'accueillir des enfants de moins de 6 ans souffrant d'un trouble «à spectre autistique», présente l'avantage de sauvegarder leur vie familiale, dès lors qu'il n'est destiné qu'à un placement de jour. Invoquant les art. 13 Cst. , 12 et 16 CEDH ainsi que 23 § 1 Pacte ONU II , ils se plaignent en outre sur ce point d'une violation du droit à entretenir des relations familiales.</w:t>
      </w:r>
    </w:p>
    <w:p>
      <w:r>
        <w:rPr>
          <w:b/>
        </w:rPr>
        <w:t>E. 3.1</w:t>
      </w:r>
    </w:p>
    <w:p>
      <w:r>
        <w:t>Selon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(cf. arrêts 5A_335/2012 du 21 juin 2012 consid. 3.1; 5A_238/2010 du 11 juin 2010 consid. 4, in FamPra.ch 2010 p. 713).</w:t>
      </w:r>
    </w:p>
    <w:p>
      <w:r>
        <w:t>Dès lors que l'application des art. 310 ss CC suppose une pesée d'intérêts de la part des autorités cantonales, le Tribunal fédéral fait preuve de retenue en revoyant leurs décisions ( ATF 120 II 384 consid. 5b). Comme pour toute norme qui accorde au juge un large pouvoir d'appréciation, il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133 III 201 consid. 5.4).</w:t>
      </w:r>
    </w:p>
    <w:p>
      <w:r>
        <w:rPr>
          <w:b/>
        </w:rPr>
        <w:t>E. 3.2</w:t>
      </w:r>
    </w:p>
    <w:p>
      <w:r>
        <w:t>En l'espèce, l'arrêt attaqué retient, sans que les recourants aient établi d'arbitraire dans l'établissement de ces constatations (cf. supra, consid. 2.2), que, selon l'experte, le développement de F.________ serait compromis s'il restait vivre chez ses parents, de sorte qu'il était impératif, pour le bien de cet enfant, de le placer dans un internat. Or, la Maison N.________ était seulement un centre de jour. De plus, le mineur était bien intégré dans celui de P.________, où il avait fait des progrès. Il apparaissait ainsi contraire à son intérêt de le placer dans un autre lieu.</w:t>
      </w:r>
    </w:p>
    <w:p>
      <w:r>
        <w:t>Sur la base de ces faits, la Chambre de surveillance ne saurait se voir reprocher d'avoir violé l' art. 310 al. 1 CC et, en particulier le principe de proportionnalité, en considérant que les établissements choisis étaient appropriés aux besoins de l'enfant.</w:t>
      </w:r>
    </w:p>
    <w:p>
      <w:r>
        <w:rPr>
          <w:b/>
        </w:rPr>
        <w:t>E. 3.3</w:t>
      </w:r>
    </w:p>
    <w:p>
      <w:r>
        <w:t>Dès lors que l'autorité précédente n'a pas abusé de son pouvoir d'appréciation, sa décision n'enfreint pas le droit constitutionnel au respect de la vie familiale ( art. 13 al. 1 Cst. ) qui, tel qu'il est invoqué dans le recours, revient d'ailleurs à se plaindre de la violation de l' art. 310 al. 1 CC . Il en va de même de l'art. 23 § 1 Pacte ONU, autant qu'il puisse être invoqué ici. L' art. 16 CEDH , également cité par les recourants, traite des restrictions à l'activité politique des étrangers, et se révèle par conséquent sans pertinence. Quant à l' art. 12 CEDH , il concerne le droit de fonder une famille et ne s'applique donc pas aux cas où des ingérences dans la vie familiale entre parents et enfants déjà nés peuvent être justifiées (arrêt de la CourEDH 56547/00 du 16 juillet 2002 ch. 142, in Recueil CourEDH 2002-VI p. 247 ).</w:t>
      </w:r>
    </w:p>
    <w:p>
      <w:r>
        <w:rPr>
          <w:b/>
        </w:rPr>
        <w:t>E. 4</w:t>
      </w:r>
    </w:p>
    <w:p>
      <w:r>
        <w:t>Selon les recourants, la cour cantonale aurait par ailleurs enfreint l' art. 314a bis CC en instaurant une curatelle de représentation pour leur quatre enfants. Ils soutiennent que ces mesures ne sont pas nécessaires et qu'elles sont, de surcroît, disproportionnées. A titre subsidiaire, ils admettent qu'une telle curatelle soit ordonnée uniquement en faveur de F.________.</w:t>
      </w:r>
    </w:p>
    <w:p>
      <w:r>
        <w:rPr>
          <w:b/>
        </w:rPr>
        <w:t>E. 4.1</w:t>
      </w:r>
    </w:p>
    <w:p>
      <w:r>
        <w:t>Aux termes de l' art. 314a bis CC , l'autorité de protection de l'enfant ordonne, si nécessaire, la représentation de l'enfant et désigne un curateur expérimenté en matière d'assistance dans le domaine juridique (al. 1). Elle examine si elle doit instituer une curatelle, en particulier, lorsque la procédure porte sur le placement de l'enfant (al. 2 ch. 1). Le curateur peut faire des propositions et agir en justice (al. 3). Dès lors que la décision de nommer un curateur à l'enfant suppose une pesée d'intérêts de la part de l'autorité cantonale, le Tribunal fédéral fait preuve de retenue en revoyant sa décision (cf. supra, consid. 3.1).</w:t>
      </w:r>
    </w:p>
    <w:p>
      <w:r>
        <w:rPr>
          <w:b/>
        </w:rPr>
        <w:t>E. 4.2</w:t>
      </w:r>
    </w:p>
    <w:p>
      <w:r>
        <w:t>En l'occurrence, la Chambre de surveillance a estimé, à l'instar du Tribunal, qu'étant donné qu'il était question du placement de quatre enfants, dont trois au moins souffraient d'atteintes à la santé nécessitant une prise en charge par des professionnels et un encadrement adapté, une curatelle de représentation s'imposait pour chacun d'eux. De plus, il ressortait du dossier que les parents ne parvenaient pas à collaborer avec les différents tiers externes qui prenaient en charge leurs enfants, en particulier les thérapeutes et médecins s'occupant de F.________ aux HUG et au Centre de jour de P.________, le SPMi, les professeurs des trois aînés ainsi que le Service de santé de la jeunesse, lequel cherchait à intégrer au mieux E.________ et C.________ à l'école en tenant compte de leurs problèmes de santé respectifs. Le bien des enfants commandait ainsi, également du point de vue juridique, qu'ils fussent assistés d'un curateur dans la procédure, qui oeuvrerait dans leurs seuls intérêts.</w:t>
      </w:r>
    </w:p>
    <w:p>
      <w:r>
        <w:t>Cette motivation se révèle convaincante et la décision ne consacre aucune violation du droit fédéral ni, en particulier, du pouvoir d'appréciation de l'autorité cantonale. Sur le vu des faits constatés, les juges précédents ont estimé à bon droit qu'il se justifiait d'instaurer une curatelle de représentation en faveur de chaque enfant, afin de veiller au mieux à l'intérêt de ceux-ci. L'argumentation des recourants, consistant essentiellement à reprocher à l'autorité cantonale de s'être - prétendument - fondée uniquement sur la requête du SPMi et à affirmer que les curatelles litigieuses sont superfétatoires, les enfants étant actuellement pris en charge de manière satisfaisante, n'est pas de nature à remettre en cause l'appréciation des juges précédents.</w:t>
      </w:r>
    </w:p>
    <w:p>
      <w:r>
        <w:rPr>
          <w:b/>
        </w:rPr>
        <w:t>E. 5</w:t>
      </w:r>
    </w:p>
    <w:p>
      <w:r>
        <w:t>En conclusion, le recours apparaît mal fondé et ne peut dès lors qu'être rejeté, dans la mesure où il est recevable. Les frais judiciaires seront supportés solidairement par les recourants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