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5A_504/2017 vom 10. Juli 2017</w:t>
      </w:r>
    </w:p>
    <w:p>
      <w:r>
        <w:t>Bundesgericht, 2017-07-10, DE</w:t>
      </w:r>
    </w:p>
    <w:p>
      <w:r>
        <w:rPr>
          <w:b/>
        </w:rPr>
        <w:t xml:space="preserve">Quelle: </w:t>
      </w:r>
      <w:r>
        <w:t>https://mcp.opencaselaw.ch/entscheid/bger_5A_504_2017</w:t>
      </w:r>
    </w:p>
    <w:p>
      <w:r>
        <w:t>FR: TF 5A_504/2017 du 10 juillet 2017</w:t>
      </w:r>
    </w:p>
    <w:p>
      <w:r>
        <w:t>IT: TF 5A_504/2017 del 10 luglio 2017</w:t>
      </w:r>
    </w:p>
    <w:p>
      <w:pPr>
        <w:pStyle w:val="Heading2"/>
      </w:pPr>
      <w:r>
        <w:t>Erwägungen</w:t>
      </w:r>
    </w:p>
    <w:p>
      <w:r>
        <w:rPr>
          <w:b/>
        </w:rPr>
        <w:t>E. 1</w:t>
      </w:r>
    </w:p>
    <w:p>
      <w:r>
        <w:t>Die Rückzugserklärung beendet das Beschwerdeverfahren unmittelbar und der Abteilungspräsident ( Art. 32 Abs. 2 BGG ) schreibt dieses mit Verfügung ab ( Art. 71 BGG i.V.m. Art. 73 BZP ).</w:t>
      </w:r>
    </w:p>
    <w:p>
      <w:r>
        <w:t>Immerhin wird die KESB von Amtes wegen zu prüfen haben, ob angesichts des manifest ambivalenten Verhaltens der Mutter im Nachgang zum obergerichtlichen Entscheid veränderte Tatsachen vorliegen könnten, welche eine Neubeurteilung der Situation erforderlich machen und vor dem Hintergrund des Kindeswohls allenfalls eine Fortführung der Fremdplatzierung des Kindes oder die Ergreifung anderer geeigneterer Massnahmen (nebst der obergerichtlich angeordneten Fortführung der Beistandschaft) als angezeigt erscheinen lassen.</w:t>
      </w:r>
    </w:p>
    <w:p>
      <w:r>
        <w:rPr>
          <w:b/>
        </w:rPr>
        <w:t>E. 2</w:t>
      </w:r>
    </w:p>
    <w:p>
      <w:r>
        <w:t>Angesichts der konkreten Umstände ist auf die Erhebung von Gerichtskosten zu verzichten ( Art. 71 BGG i.V.m. Art. 5 Abs. 2 BZP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